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F0D" w:rsidRPr="00311F0D" w:rsidRDefault="00311F0D">
      <w:pPr>
        <w:rPr>
          <w:rFonts w:ascii="Times New Roman" w:hAnsi="Times New Roman" w:cs="Times New Roman"/>
          <w:b/>
          <w:sz w:val="28"/>
          <w:lang w:val="vi-VN"/>
        </w:rPr>
      </w:pPr>
      <w:r w:rsidRPr="00311F0D">
        <w:rPr>
          <w:rFonts w:ascii="Times New Roman" w:hAnsi="Times New Roman" w:cs="Times New Roman"/>
          <w:b/>
          <w:sz w:val="28"/>
          <w:lang w:val="vi-VN"/>
        </w:rPr>
        <w:t>Quyết định ban hành kế hoạch tổng kết 10 năm thi hành Luật BÌnh đẳng giới</w:t>
      </w:r>
    </w:p>
    <w:p w:rsidR="00311F0D" w:rsidRDefault="00311F0D"/>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311F0D" w:rsidRPr="00311F0D" w:rsidTr="00311F0D">
        <w:trPr>
          <w:tblCellSpacing w:w="0" w:type="dxa"/>
        </w:trPr>
        <w:tc>
          <w:tcPr>
            <w:tcW w:w="3348" w:type="dxa"/>
            <w:shd w:val="clear" w:color="auto" w:fill="FFFFFF"/>
            <w:tcMar>
              <w:top w:w="0" w:type="dxa"/>
              <w:left w:w="108" w:type="dxa"/>
              <w:bottom w:w="0" w:type="dxa"/>
              <w:right w:w="108" w:type="dxa"/>
            </w:tcMar>
            <w:hideMark/>
          </w:tcPr>
          <w:p w:rsidR="00311F0D" w:rsidRPr="00311F0D" w:rsidRDefault="00311F0D" w:rsidP="00311F0D">
            <w:pPr>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BỘ GIÁO DỤC VÀ ĐÀO TẠO</w:t>
            </w:r>
            <w:r w:rsidRPr="00311F0D">
              <w:rPr>
                <w:rFonts w:ascii="Arial" w:eastAsia="Times New Roman" w:hAnsi="Arial" w:cs="Arial"/>
                <w:b/>
                <w:bCs/>
                <w:color w:val="000000"/>
                <w:sz w:val="20"/>
                <w:szCs w:val="18"/>
                <w:lang w:val="en-CA"/>
              </w:rPr>
              <w:br/>
              <w:t>--------</w:t>
            </w:r>
          </w:p>
        </w:tc>
        <w:tc>
          <w:tcPr>
            <w:tcW w:w="5508" w:type="dxa"/>
            <w:shd w:val="clear" w:color="auto" w:fill="FFFFFF"/>
            <w:tcMar>
              <w:top w:w="0" w:type="dxa"/>
              <w:left w:w="108" w:type="dxa"/>
              <w:bottom w:w="0" w:type="dxa"/>
              <w:right w:w="108" w:type="dxa"/>
            </w:tcMar>
            <w:hideMark/>
          </w:tcPr>
          <w:p w:rsidR="00311F0D" w:rsidRPr="00311F0D" w:rsidRDefault="00311F0D" w:rsidP="00311F0D">
            <w:pPr>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 xml:space="preserve">CỘNG </w:t>
            </w:r>
            <w:bookmarkStart w:id="0" w:name="_GoBack"/>
            <w:bookmarkEnd w:id="0"/>
            <w:r w:rsidRPr="00311F0D">
              <w:rPr>
                <w:rFonts w:ascii="Arial" w:eastAsia="Times New Roman" w:hAnsi="Arial" w:cs="Arial"/>
                <w:b/>
                <w:bCs/>
                <w:color w:val="000000"/>
                <w:sz w:val="20"/>
                <w:szCs w:val="18"/>
                <w:lang w:val="en-CA"/>
              </w:rPr>
              <w:t>HÒA XÃ HỘI CHỦ NGHĨA VIỆT NAM</w:t>
            </w:r>
            <w:r w:rsidRPr="00311F0D">
              <w:rPr>
                <w:rFonts w:ascii="Arial" w:eastAsia="Times New Roman" w:hAnsi="Arial" w:cs="Arial"/>
                <w:b/>
                <w:bCs/>
                <w:color w:val="000000"/>
                <w:sz w:val="20"/>
                <w:szCs w:val="18"/>
                <w:lang w:val="en-CA"/>
              </w:rPr>
              <w:br/>
              <w:t>Độc lập - Tự do - Hạnh phúc </w:t>
            </w:r>
            <w:r w:rsidRPr="00311F0D">
              <w:rPr>
                <w:rFonts w:ascii="Arial" w:eastAsia="Times New Roman" w:hAnsi="Arial" w:cs="Arial"/>
                <w:b/>
                <w:bCs/>
                <w:color w:val="000000"/>
                <w:sz w:val="20"/>
                <w:szCs w:val="18"/>
                <w:lang w:val="en-CA"/>
              </w:rPr>
              <w:br/>
              <w:t>---------------</w:t>
            </w:r>
          </w:p>
        </w:tc>
      </w:tr>
      <w:tr w:rsidR="00311F0D" w:rsidRPr="00311F0D" w:rsidTr="00311F0D">
        <w:trPr>
          <w:tblCellSpacing w:w="0" w:type="dxa"/>
        </w:trPr>
        <w:tc>
          <w:tcPr>
            <w:tcW w:w="3348" w:type="dxa"/>
            <w:shd w:val="clear" w:color="auto" w:fill="FFFFFF"/>
            <w:tcMar>
              <w:top w:w="0" w:type="dxa"/>
              <w:left w:w="108" w:type="dxa"/>
              <w:bottom w:w="0" w:type="dxa"/>
              <w:right w:w="108" w:type="dxa"/>
            </w:tcMar>
            <w:hideMark/>
          </w:tcPr>
          <w:p w:rsidR="00311F0D" w:rsidRPr="00311F0D" w:rsidRDefault="00311F0D" w:rsidP="00311F0D">
            <w:pPr>
              <w:spacing w:after="120" w:line="360" w:lineRule="auto"/>
              <w:jc w:val="center"/>
              <w:rPr>
                <w:rFonts w:ascii="Arial" w:eastAsia="Times New Roman" w:hAnsi="Arial" w:cs="Arial"/>
                <w:color w:val="000000"/>
                <w:sz w:val="20"/>
                <w:szCs w:val="18"/>
              </w:rPr>
            </w:pPr>
            <w:r w:rsidRPr="00311F0D">
              <w:rPr>
                <w:rFonts w:ascii="Arial" w:eastAsia="Times New Roman" w:hAnsi="Arial" w:cs="Arial"/>
                <w:color w:val="000000"/>
                <w:sz w:val="20"/>
                <w:szCs w:val="18"/>
                <w:lang w:val="en-CA"/>
              </w:rPr>
              <w:t>Số: 5875/QĐ-BGDĐT</w:t>
            </w:r>
          </w:p>
        </w:tc>
        <w:tc>
          <w:tcPr>
            <w:tcW w:w="5508" w:type="dxa"/>
            <w:shd w:val="clear" w:color="auto" w:fill="FFFFFF"/>
            <w:tcMar>
              <w:top w:w="0" w:type="dxa"/>
              <w:left w:w="108" w:type="dxa"/>
              <w:bottom w:w="0" w:type="dxa"/>
              <w:right w:w="108" w:type="dxa"/>
            </w:tcMar>
            <w:hideMark/>
          </w:tcPr>
          <w:p w:rsidR="00311F0D" w:rsidRPr="00311F0D" w:rsidRDefault="00311F0D" w:rsidP="00311F0D">
            <w:pPr>
              <w:spacing w:after="120" w:line="360" w:lineRule="auto"/>
              <w:jc w:val="right"/>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Hà Nội, ngày 14 tháng 12 năm 2016</w:t>
            </w:r>
          </w:p>
        </w:tc>
      </w:tr>
    </w:tbl>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p>
    <w:p w:rsidR="00311F0D" w:rsidRPr="00311F0D" w:rsidRDefault="00311F0D" w:rsidP="00311F0D">
      <w:pPr>
        <w:shd w:val="clear" w:color="auto" w:fill="FFFFFF"/>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8"/>
          <w:szCs w:val="24"/>
          <w:lang w:val="en-CA"/>
        </w:rPr>
        <w:t>QUYẾT ĐỊNH</w:t>
      </w:r>
    </w:p>
    <w:p w:rsidR="00311F0D" w:rsidRPr="00311F0D" w:rsidRDefault="00311F0D" w:rsidP="00311F0D">
      <w:pPr>
        <w:shd w:val="clear" w:color="auto" w:fill="FFFFFF"/>
        <w:spacing w:after="120" w:line="360" w:lineRule="auto"/>
        <w:jc w:val="center"/>
        <w:rPr>
          <w:rFonts w:ascii="Arial" w:eastAsia="Times New Roman" w:hAnsi="Arial" w:cs="Arial"/>
          <w:color w:val="000000"/>
          <w:sz w:val="20"/>
          <w:szCs w:val="18"/>
        </w:rPr>
      </w:pPr>
      <w:r w:rsidRPr="00311F0D">
        <w:rPr>
          <w:rFonts w:ascii="Arial" w:eastAsia="Times New Roman" w:hAnsi="Arial" w:cs="Arial"/>
          <w:color w:val="000000"/>
          <w:sz w:val="20"/>
          <w:szCs w:val="18"/>
          <w:lang w:val="en-CA"/>
        </w:rPr>
        <w:t>BAN HÀNH KẾ HOẠCH TỔNG KẾT 10 NĂM THI HÀNH LUẬT BÌNH ĐẲNG GIỚI</w:t>
      </w:r>
    </w:p>
    <w:p w:rsidR="00311F0D" w:rsidRPr="00311F0D" w:rsidRDefault="00311F0D" w:rsidP="00311F0D">
      <w:pPr>
        <w:shd w:val="clear" w:color="auto" w:fill="FFFFFF"/>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8"/>
          <w:szCs w:val="24"/>
          <w:lang w:val="en-CA"/>
        </w:rPr>
        <w:t>BỘ TRƯỞNG BỘ GIÁO DỤC VÀ ĐÀO TẠO</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Căn cứ Luật Ban hành văn bản quy phạm pháp luật năm 2015;</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Căn cứ Luật Bình đẳng giới năm 2006;</w:t>
      </w:r>
    </w:p>
    <w:p w:rsidR="00311F0D" w:rsidRPr="00311F0D" w:rsidRDefault="00311F0D" w:rsidP="00311F0D">
      <w:pPr>
        <w:shd w:val="clear" w:color="auto" w:fill="FFFFFF"/>
        <w:spacing w:after="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Căn cứ Nghị định số </w:t>
      </w:r>
      <w:hyperlink r:id="rId6" w:tgtFrame="_blank" w:history="1">
        <w:r w:rsidRPr="00311F0D">
          <w:rPr>
            <w:rFonts w:ascii="Arial" w:eastAsia="Times New Roman" w:hAnsi="Arial" w:cs="Arial"/>
            <w:i/>
            <w:iCs/>
            <w:color w:val="0E70C3"/>
            <w:sz w:val="20"/>
            <w:szCs w:val="18"/>
            <w:lang w:val="en-CA"/>
          </w:rPr>
          <w:t>34/2016/NĐ-CP</w:t>
        </w:r>
      </w:hyperlink>
      <w:r w:rsidRPr="00311F0D">
        <w:rPr>
          <w:rFonts w:ascii="Arial" w:eastAsia="Times New Roman" w:hAnsi="Arial" w:cs="Arial"/>
          <w:i/>
          <w:iCs/>
          <w:color w:val="000000"/>
          <w:sz w:val="20"/>
          <w:szCs w:val="18"/>
          <w:lang w:val="en-CA"/>
        </w:rPr>
        <w:t> ngày 14 tháng 5 năm 2016 của Chính phủ quy định chi tiết một số điều và biện pháp thi hành Luật Ban hành văn bản quy phạm pháp luật;</w:t>
      </w:r>
    </w:p>
    <w:p w:rsidR="00311F0D" w:rsidRPr="00311F0D" w:rsidRDefault="00311F0D" w:rsidP="00311F0D">
      <w:pPr>
        <w:shd w:val="clear" w:color="auto" w:fill="FFFFFF"/>
        <w:spacing w:after="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Căn cứ Nghị định số </w:t>
      </w:r>
      <w:hyperlink r:id="rId7" w:tgtFrame="_blank" w:history="1">
        <w:r w:rsidRPr="00311F0D">
          <w:rPr>
            <w:rFonts w:ascii="Arial" w:eastAsia="Times New Roman" w:hAnsi="Arial" w:cs="Arial"/>
            <w:i/>
            <w:iCs/>
            <w:color w:val="0E70C3"/>
            <w:sz w:val="20"/>
            <w:szCs w:val="18"/>
            <w:lang w:val="en-CA"/>
          </w:rPr>
          <w:t>123/2016/NĐ-CP</w:t>
        </w:r>
      </w:hyperlink>
      <w:r w:rsidRPr="00311F0D">
        <w:rPr>
          <w:rFonts w:ascii="Arial" w:eastAsia="Times New Roman" w:hAnsi="Arial" w:cs="Arial"/>
          <w:i/>
          <w:iCs/>
          <w:color w:val="000000"/>
          <w:sz w:val="20"/>
          <w:szCs w:val="18"/>
          <w:lang w:val="en-CA"/>
        </w:rPr>
        <w:t> ngày 01 tháng 9 năm 2016 của Chính phủ quy định chức năng, nhiệm vụ, quyền hạn và cơ cấu tổ chức của Bộ, cơ quan ngang Bộ;</w:t>
      </w:r>
    </w:p>
    <w:p w:rsidR="00311F0D" w:rsidRPr="00311F0D" w:rsidRDefault="00311F0D" w:rsidP="00311F0D">
      <w:pPr>
        <w:shd w:val="clear" w:color="auto" w:fill="FFFFFF"/>
        <w:spacing w:after="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Căn cứ Nghị định số </w:t>
      </w:r>
      <w:hyperlink r:id="rId8" w:tgtFrame="_blank" w:history="1">
        <w:r w:rsidRPr="00311F0D">
          <w:rPr>
            <w:rFonts w:ascii="Arial" w:eastAsia="Times New Roman" w:hAnsi="Arial" w:cs="Arial"/>
            <w:i/>
            <w:iCs/>
            <w:color w:val="0E70C3"/>
            <w:sz w:val="20"/>
            <w:szCs w:val="18"/>
            <w:lang w:val="en-CA"/>
          </w:rPr>
          <w:t>32/2008/NĐ-CP</w:t>
        </w:r>
      </w:hyperlink>
      <w:r w:rsidRPr="00311F0D">
        <w:rPr>
          <w:rFonts w:ascii="Arial" w:eastAsia="Times New Roman" w:hAnsi="Arial" w:cs="Arial"/>
          <w:i/>
          <w:iCs/>
          <w:color w:val="000000"/>
          <w:sz w:val="20"/>
          <w:szCs w:val="18"/>
          <w:lang w:val="en-CA"/>
        </w:rPr>
        <w:t> ngày 19 tháng 3 năm 2008 của Chính phủ quy định chức năng, nhiệm vụ, quyền hạn và cơ cấu tổ chức của Bộ Giáo dục và Đào tạo;</w:t>
      </w:r>
    </w:p>
    <w:p w:rsidR="00311F0D" w:rsidRPr="00311F0D" w:rsidRDefault="00311F0D" w:rsidP="00311F0D">
      <w:pPr>
        <w:shd w:val="clear" w:color="auto" w:fill="FFFFFF"/>
        <w:spacing w:after="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Căn cứ Quyết định số</w:t>
      </w:r>
      <w:hyperlink r:id="rId9" w:tgtFrame="_blank" w:history="1">
        <w:r w:rsidRPr="00311F0D">
          <w:rPr>
            <w:rFonts w:ascii="Arial" w:eastAsia="Times New Roman" w:hAnsi="Arial" w:cs="Arial"/>
            <w:i/>
            <w:iCs/>
            <w:color w:val="0E70C3"/>
            <w:sz w:val="20"/>
            <w:szCs w:val="18"/>
            <w:lang w:val="en-CA"/>
          </w:rPr>
          <w:t> 1392/QĐ-LĐTBXH</w:t>
        </w:r>
      </w:hyperlink>
      <w:r w:rsidRPr="00311F0D">
        <w:rPr>
          <w:rFonts w:ascii="Arial" w:eastAsia="Times New Roman" w:hAnsi="Arial" w:cs="Arial"/>
          <w:i/>
          <w:iCs/>
          <w:color w:val="000000"/>
          <w:sz w:val="20"/>
          <w:szCs w:val="18"/>
          <w:lang w:val="en-CA"/>
        </w:rPr>
        <w:t> ngày 14 tháng 10 năm 2016 của Bộ Lao động - Thương binh và Xã hội ban hành Kế hoạch tổng kết 10 năm thi hành Luật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i/>
          <w:iCs/>
          <w:color w:val="000000"/>
          <w:sz w:val="20"/>
          <w:szCs w:val="18"/>
          <w:lang w:val="en-CA"/>
        </w:rPr>
        <w:t>Xét đề nghị của Cục trưởng Cục Nhà giáo và Cán bộ quản lý cơ sở giáo dục,</w:t>
      </w:r>
    </w:p>
    <w:p w:rsidR="00311F0D" w:rsidRPr="00311F0D" w:rsidRDefault="00311F0D" w:rsidP="00311F0D">
      <w:pPr>
        <w:shd w:val="clear" w:color="auto" w:fill="FFFFFF"/>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8"/>
          <w:szCs w:val="24"/>
          <w:lang w:val="en-CA"/>
        </w:rPr>
        <w:t>QUYẾT ĐỊNH:</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Điều 1.</w:t>
      </w:r>
      <w:r w:rsidRPr="00311F0D">
        <w:rPr>
          <w:rFonts w:ascii="Arial" w:eastAsia="Times New Roman" w:hAnsi="Arial" w:cs="Arial"/>
          <w:color w:val="000000"/>
          <w:sz w:val="20"/>
          <w:szCs w:val="18"/>
          <w:lang w:val="en-CA"/>
        </w:rPr>
        <w:t> Ban hành kèm theo Quyết định này Kế hoạch tổng kết 10 năm thi hành Luật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Điều 2.</w:t>
      </w:r>
      <w:r w:rsidRPr="00311F0D">
        <w:rPr>
          <w:rFonts w:ascii="Arial" w:eastAsia="Times New Roman" w:hAnsi="Arial" w:cs="Arial"/>
          <w:color w:val="000000"/>
          <w:sz w:val="20"/>
          <w:szCs w:val="18"/>
          <w:lang w:val="en-CA"/>
        </w:rPr>
        <w:t> Quyết định này có hiệu lực kể từ ngày ký.</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Điều 3. </w:t>
      </w:r>
      <w:r w:rsidRPr="00311F0D">
        <w:rPr>
          <w:rFonts w:ascii="Arial" w:eastAsia="Times New Roman" w:hAnsi="Arial" w:cs="Arial"/>
          <w:color w:val="000000"/>
          <w:sz w:val="20"/>
          <w:szCs w:val="18"/>
          <w:lang w:val="en-CA"/>
        </w:rPr>
        <w:t>Chánh Văn phòng Bộ, Cục trưởng Cục Nhà giáo và Cán bộ quản lý cơ sở giáo dục, Vụ trưởng Vụ Kế hoạch - Tài chính, Giám đốc các sở giáo dục và đào tạo và Thủ trưởng các đơn vị trực thuộc Bộ Giáo dục và Đào tạo chịu trách nhiệm thi hành Quyết định này./.</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88"/>
        <w:gridCol w:w="4268"/>
      </w:tblGrid>
      <w:tr w:rsidR="00311F0D" w:rsidRPr="00311F0D" w:rsidTr="00311F0D">
        <w:trPr>
          <w:tblCellSpacing w:w="0" w:type="dxa"/>
        </w:trPr>
        <w:tc>
          <w:tcPr>
            <w:tcW w:w="4588" w:type="dxa"/>
            <w:shd w:val="clear" w:color="auto" w:fill="FFFFFF"/>
            <w:tcMar>
              <w:top w:w="0" w:type="dxa"/>
              <w:left w:w="108" w:type="dxa"/>
              <w:bottom w:w="0" w:type="dxa"/>
              <w:right w:w="108" w:type="dxa"/>
            </w:tcMar>
            <w:hideMark/>
          </w:tcPr>
          <w:p w:rsidR="00311F0D" w:rsidRPr="00311F0D" w:rsidRDefault="00311F0D" w:rsidP="00311F0D">
            <w:pPr>
              <w:spacing w:after="120" w:line="360" w:lineRule="auto"/>
              <w:rPr>
                <w:rFonts w:ascii="Arial" w:eastAsia="Times New Roman" w:hAnsi="Arial" w:cs="Arial"/>
                <w:color w:val="000000"/>
                <w:sz w:val="20"/>
                <w:szCs w:val="18"/>
              </w:rPr>
            </w:pPr>
            <w:r w:rsidRPr="00311F0D">
              <w:rPr>
                <w:rFonts w:ascii="Arial" w:eastAsia="Times New Roman" w:hAnsi="Arial" w:cs="Arial"/>
                <w:b/>
                <w:bCs/>
                <w:i/>
                <w:iCs/>
                <w:color w:val="000000"/>
                <w:sz w:val="18"/>
                <w:szCs w:val="16"/>
                <w:lang w:val="en-CA"/>
              </w:rPr>
              <w:t> </w:t>
            </w:r>
          </w:p>
          <w:p w:rsidR="00311F0D" w:rsidRPr="00311F0D" w:rsidRDefault="00311F0D" w:rsidP="00311F0D">
            <w:pPr>
              <w:spacing w:after="120" w:line="360" w:lineRule="auto"/>
              <w:rPr>
                <w:rFonts w:ascii="Arial" w:eastAsia="Times New Roman" w:hAnsi="Arial" w:cs="Arial"/>
                <w:color w:val="000000"/>
                <w:sz w:val="20"/>
                <w:szCs w:val="18"/>
              </w:rPr>
            </w:pPr>
            <w:r w:rsidRPr="00311F0D">
              <w:rPr>
                <w:rFonts w:ascii="Arial" w:eastAsia="Times New Roman" w:hAnsi="Arial" w:cs="Arial"/>
                <w:b/>
                <w:bCs/>
                <w:i/>
                <w:iCs/>
                <w:color w:val="000000"/>
                <w:sz w:val="20"/>
                <w:szCs w:val="18"/>
                <w:lang w:val="en-CA"/>
              </w:rPr>
              <w:lastRenderedPageBreak/>
              <w:t>Nơi nhận:</w:t>
            </w:r>
            <w:r w:rsidRPr="00311F0D">
              <w:rPr>
                <w:rFonts w:ascii="Arial" w:eastAsia="Times New Roman" w:hAnsi="Arial" w:cs="Arial"/>
                <w:b/>
                <w:bCs/>
                <w:i/>
                <w:iCs/>
                <w:color w:val="000000"/>
                <w:sz w:val="20"/>
                <w:szCs w:val="18"/>
                <w:lang w:val="it-IT"/>
              </w:rPr>
              <w:br/>
            </w:r>
            <w:r w:rsidRPr="00311F0D">
              <w:rPr>
                <w:rFonts w:ascii="Arial" w:eastAsia="Times New Roman" w:hAnsi="Arial" w:cs="Arial"/>
                <w:color w:val="000000"/>
                <w:sz w:val="18"/>
                <w:szCs w:val="16"/>
                <w:lang w:val="en-CA"/>
              </w:rPr>
              <w:t>- Như Điều 3 (để thi hành);</w:t>
            </w:r>
            <w:r w:rsidRPr="00311F0D">
              <w:rPr>
                <w:rFonts w:ascii="Arial" w:eastAsia="Times New Roman" w:hAnsi="Arial" w:cs="Arial"/>
                <w:color w:val="000000"/>
                <w:sz w:val="18"/>
                <w:szCs w:val="16"/>
                <w:lang w:val="en-CA"/>
              </w:rPr>
              <w:br/>
              <w:t>- TW Hội LHPN Việt Nam (để phối hợp);</w:t>
            </w:r>
            <w:r w:rsidRPr="00311F0D">
              <w:rPr>
                <w:rFonts w:ascii="Arial" w:eastAsia="Times New Roman" w:hAnsi="Arial" w:cs="Arial"/>
                <w:color w:val="000000"/>
                <w:sz w:val="18"/>
                <w:szCs w:val="16"/>
                <w:lang w:val="en-CA"/>
              </w:rPr>
              <w:br/>
              <w:t>- Ủy ban QGVSTBPNVN (để biết);</w:t>
            </w:r>
            <w:r w:rsidRPr="00311F0D">
              <w:rPr>
                <w:rFonts w:ascii="Arial" w:eastAsia="Times New Roman" w:hAnsi="Arial" w:cs="Arial"/>
                <w:color w:val="000000"/>
                <w:sz w:val="18"/>
                <w:szCs w:val="16"/>
                <w:lang w:val="en-CA"/>
              </w:rPr>
              <w:br/>
              <w:t>- TW Hội Khuyến học Việt Nam (để phối hợp);</w:t>
            </w:r>
            <w:r w:rsidRPr="00311F0D">
              <w:rPr>
                <w:rFonts w:ascii="Arial" w:eastAsia="Times New Roman" w:hAnsi="Arial" w:cs="Arial"/>
                <w:color w:val="000000"/>
                <w:sz w:val="18"/>
                <w:szCs w:val="16"/>
                <w:lang w:val="en-CA"/>
              </w:rPr>
              <w:br/>
              <w:t>- Bộ trưởng (để báo cáo);</w:t>
            </w:r>
            <w:r w:rsidRPr="00311F0D">
              <w:rPr>
                <w:rFonts w:ascii="Arial" w:eastAsia="Times New Roman" w:hAnsi="Arial" w:cs="Arial"/>
                <w:color w:val="000000"/>
                <w:sz w:val="18"/>
                <w:szCs w:val="16"/>
                <w:lang w:val="en-CA"/>
              </w:rPr>
              <w:br/>
              <w:t>- Thứ trưởng Phạm Mạnh Hùng;</w:t>
            </w:r>
            <w:r w:rsidRPr="00311F0D">
              <w:rPr>
                <w:rFonts w:ascii="Arial" w:eastAsia="Times New Roman" w:hAnsi="Arial" w:cs="Arial"/>
                <w:color w:val="000000"/>
                <w:sz w:val="18"/>
                <w:szCs w:val="16"/>
                <w:lang w:val="en-CA"/>
              </w:rPr>
              <w:br/>
              <w:t>- Các Sở GD&amp;ĐT, các đơn vị trực thuộc Bộ GD&amp;ĐT</w:t>
            </w:r>
            <w:r w:rsidRPr="00311F0D">
              <w:rPr>
                <w:rFonts w:ascii="Arial" w:eastAsia="Times New Roman" w:hAnsi="Arial" w:cs="Arial"/>
                <w:color w:val="000000"/>
                <w:sz w:val="18"/>
                <w:szCs w:val="16"/>
                <w:lang w:val="en-CA"/>
              </w:rPr>
              <w:br/>
              <w:t>(để thực hiện);</w:t>
            </w:r>
            <w:r w:rsidRPr="00311F0D">
              <w:rPr>
                <w:rFonts w:ascii="Arial" w:eastAsia="Times New Roman" w:hAnsi="Arial" w:cs="Arial"/>
                <w:color w:val="000000"/>
                <w:sz w:val="18"/>
                <w:szCs w:val="16"/>
                <w:lang w:val="en-CA"/>
              </w:rPr>
              <w:br/>
              <w:t>- Cổng thông tin điện tử của Bộ GD&amp;ĐT;</w:t>
            </w:r>
            <w:r w:rsidRPr="00311F0D">
              <w:rPr>
                <w:rFonts w:ascii="Arial" w:eastAsia="Times New Roman" w:hAnsi="Arial" w:cs="Arial"/>
                <w:color w:val="000000"/>
                <w:sz w:val="18"/>
                <w:szCs w:val="16"/>
                <w:lang w:val="en-CA"/>
              </w:rPr>
              <w:br/>
              <w:t>- Lưu: VT, Cục NGCBQLCSGD.</w:t>
            </w:r>
          </w:p>
        </w:tc>
        <w:tc>
          <w:tcPr>
            <w:tcW w:w="4268" w:type="dxa"/>
            <w:shd w:val="clear" w:color="auto" w:fill="FFFFFF"/>
            <w:tcMar>
              <w:top w:w="0" w:type="dxa"/>
              <w:left w:w="108" w:type="dxa"/>
              <w:bottom w:w="0" w:type="dxa"/>
              <w:right w:w="108" w:type="dxa"/>
            </w:tcMar>
            <w:hideMark/>
          </w:tcPr>
          <w:p w:rsidR="00311F0D" w:rsidRPr="00311F0D" w:rsidRDefault="00311F0D" w:rsidP="00311F0D">
            <w:pPr>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lastRenderedPageBreak/>
              <w:t>KT. BỘ TRƯỞNG</w:t>
            </w:r>
            <w:r w:rsidRPr="00311F0D">
              <w:rPr>
                <w:rFonts w:ascii="Arial" w:eastAsia="Times New Roman" w:hAnsi="Arial" w:cs="Arial"/>
                <w:color w:val="000000"/>
                <w:sz w:val="20"/>
                <w:szCs w:val="18"/>
                <w:lang w:val="en-CA"/>
              </w:rPr>
              <w:br/>
            </w:r>
            <w:r w:rsidRPr="00311F0D">
              <w:rPr>
                <w:rFonts w:ascii="Arial" w:eastAsia="Times New Roman" w:hAnsi="Arial" w:cs="Arial"/>
                <w:b/>
                <w:bCs/>
                <w:color w:val="000000"/>
                <w:sz w:val="20"/>
                <w:szCs w:val="18"/>
                <w:lang w:val="en-CA"/>
              </w:rPr>
              <w:t>THỨ TRƯỞNG</w:t>
            </w:r>
            <w:r w:rsidRPr="00311F0D">
              <w:rPr>
                <w:rFonts w:ascii="Arial" w:eastAsia="Times New Roman" w:hAnsi="Arial" w:cs="Arial"/>
                <w:b/>
                <w:bCs/>
                <w:color w:val="000000"/>
                <w:sz w:val="20"/>
                <w:szCs w:val="18"/>
                <w:lang w:val="en-CA"/>
              </w:rPr>
              <w:br/>
            </w:r>
            <w:r w:rsidRPr="00311F0D">
              <w:rPr>
                <w:rFonts w:ascii="Arial" w:eastAsia="Times New Roman" w:hAnsi="Arial" w:cs="Arial"/>
                <w:b/>
                <w:bCs/>
                <w:color w:val="000000"/>
                <w:sz w:val="20"/>
                <w:szCs w:val="18"/>
                <w:lang w:val="en-CA"/>
              </w:rPr>
              <w:lastRenderedPageBreak/>
              <w:br/>
            </w:r>
            <w:r w:rsidRPr="00311F0D">
              <w:rPr>
                <w:rFonts w:ascii="Arial" w:eastAsia="Times New Roman" w:hAnsi="Arial" w:cs="Arial"/>
                <w:color w:val="000000"/>
                <w:sz w:val="20"/>
                <w:szCs w:val="18"/>
                <w:lang w:val="en-CA"/>
              </w:rPr>
              <w:br/>
            </w:r>
            <w:r w:rsidRPr="00311F0D">
              <w:rPr>
                <w:rFonts w:ascii="Arial" w:eastAsia="Times New Roman" w:hAnsi="Arial" w:cs="Arial"/>
                <w:color w:val="000000"/>
                <w:sz w:val="20"/>
                <w:szCs w:val="18"/>
                <w:lang w:val="en-CA"/>
              </w:rPr>
              <w:br/>
            </w:r>
            <w:r w:rsidRPr="00311F0D">
              <w:rPr>
                <w:rFonts w:ascii="Arial" w:eastAsia="Times New Roman" w:hAnsi="Arial" w:cs="Arial"/>
                <w:color w:val="000000"/>
                <w:sz w:val="20"/>
                <w:szCs w:val="18"/>
                <w:lang w:val="en-CA"/>
              </w:rPr>
              <w:br/>
            </w:r>
            <w:r w:rsidRPr="00311F0D">
              <w:rPr>
                <w:rFonts w:ascii="Arial" w:eastAsia="Times New Roman" w:hAnsi="Arial" w:cs="Arial"/>
                <w:b/>
                <w:bCs/>
                <w:color w:val="000000"/>
                <w:sz w:val="20"/>
                <w:szCs w:val="18"/>
                <w:lang w:val="en-CA"/>
              </w:rPr>
              <w:t>Nguyễn Thị Nghĩa</w:t>
            </w:r>
          </w:p>
        </w:tc>
      </w:tr>
    </w:tbl>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lastRenderedPageBreak/>
        <w:t> </w:t>
      </w:r>
    </w:p>
    <w:p w:rsidR="00311F0D" w:rsidRPr="00311F0D" w:rsidRDefault="00311F0D" w:rsidP="00311F0D">
      <w:pPr>
        <w:shd w:val="clear" w:color="auto" w:fill="FFFFFF"/>
        <w:spacing w:after="120" w:line="360" w:lineRule="auto"/>
        <w:jc w:val="center"/>
        <w:rPr>
          <w:rFonts w:ascii="Arial" w:eastAsia="Times New Roman" w:hAnsi="Arial" w:cs="Arial"/>
          <w:color w:val="000000"/>
          <w:sz w:val="20"/>
          <w:szCs w:val="18"/>
        </w:rPr>
      </w:pPr>
      <w:r w:rsidRPr="00311F0D">
        <w:rPr>
          <w:rFonts w:ascii="Arial" w:eastAsia="Times New Roman" w:hAnsi="Arial" w:cs="Arial"/>
          <w:b/>
          <w:bCs/>
          <w:color w:val="000000"/>
          <w:sz w:val="28"/>
          <w:szCs w:val="24"/>
          <w:lang w:val="en-CA"/>
        </w:rPr>
        <w:t>KẾ HOẠCH</w:t>
      </w:r>
    </w:p>
    <w:p w:rsidR="00311F0D" w:rsidRPr="00311F0D" w:rsidRDefault="00311F0D" w:rsidP="00311F0D">
      <w:pPr>
        <w:shd w:val="clear" w:color="auto" w:fill="FFFFFF"/>
        <w:spacing w:after="120" w:line="360" w:lineRule="auto"/>
        <w:jc w:val="center"/>
        <w:rPr>
          <w:rFonts w:ascii="Arial" w:eastAsia="Times New Roman" w:hAnsi="Arial" w:cs="Arial"/>
          <w:color w:val="000000"/>
          <w:sz w:val="20"/>
          <w:szCs w:val="18"/>
        </w:rPr>
      </w:pPr>
      <w:r w:rsidRPr="00311F0D">
        <w:rPr>
          <w:rFonts w:ascii="Arial" w:eastAsia="Times New Roman" w:hAnsi="Arial" w:cs="Arial"/>
          <w:color w:val="000000"/>
          <w:sz w:val="20"/>
          <w:szCs w:val="18"/>
          <w:lang w:val="en-CA"/>
        </w:rPr>
        <w:t>TỔNG KẾT 10 NĂM THI HÀNH LUẬT BÌNH ĐẲNG GIỚI</w:t>
      </w:r>
      <w:r w:rsidRPr="00311F0D">
        <w:rPr>
          <w:rFonts w:ascii="Arial" w:eastAsia="Times New Roman" w:hAnsi="Arial" w:cs="Arial"/>
          <w:color w:val="000000"/>
          <w:sz w:val="20"/>
          <w:szCs w:val="18"/>
          <w:lang w:val="en-CA"/>
        </w:rPr>
        <w:br/>
      </w:r>
      <w:r w:rsidRPr="00311F0D">
        <w:rPr>
          <w:rFonts w:ascii="Arial" w:eastAsia="Times New Roman" w:hAnsi="Arial" w:cs="Arial"/>
          <w:i/>
          <w:iCs/>
          <w:color w:val="000000"/>
          <w:sz w:val="20"/>
          <w:szCs w:val="18"/>
          <w:lang w:val="en-CA"/>
        </w:rPr>
        <w:t>(Ban hành kèm theo Quyết định số 5875/QĐ-BGDĐT ngày 14 tháng 12 năm 2016 của Bộ trưởng Bộ Giáo dục và Đào tạo)</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Luật Bình đẳng giới số 73/2006/QH11 có hiệu lực ngày 01/01/2007, quy định nguyên tắc bình đẳng giới trong các lĩnh vực của đời sống xã hội và gia đình, biện pháp bảo đảm bình đẳng giới, trách nhiệm của cơ quan, tổ chức, gia đình trong việc thực hiện bình đẳng giới. Trong thời gian qua, việc triển khai thi hành Luật Bình đẳng giới đã góp phần thúc đẩy bình đẳng giới trong các lĩnh vực, nâng cao vị thế và phát huy vai trò của phụ nữ, đảm bảo quyền con người, quyền công dân và an sinh xã hội. Trong quá trình triển khai thực hiện, Luật Bình đẳng giới đã bộc lộ một số hạn chế, vướng mắc nhất định trong một số quy định của Luật và trong công tác tổ chức thực hiện.</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Để đánh giá kết quả đạt được, những hạn chế và nguyên nhân, các giải pháp tiếp tục nâng cao chất lượng, hiệu quả công tác quản lý nhà nước về bình đẳng giới và từng bước hoàn thiện hệ thống pháp luật về bình đẳng giới, Bộ GD&amp;ĐT xây dựng Kế hoạch tổng kết 10 năm thi hành Luật Bình đẳng giới trong lĩnh vực được phân công, chi tiết cụ thể như sau:</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1. Mục đích, yêu cầu</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1.1. Mục đích</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Tổng kết, đánh giá toàn diện về tình hình thực hiện và tác động của việc thi hành Luật Bình đẳng giới, các văn bản hướng dẫn Luật Bình đẳng giới trong lĩnh vực giáo dục và đào tạo, bao gồm: Những kết quả đạt được, những hạn chế, khó khăn và nguyên nhân xuất phát từ việc thực hiện các quy định và tổ chức thực hiện Luật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Đánh giá sự phù hợp và đồng bộ của Luật Bình đẳng giới với các văn bản quy phạm pháp luật hiện hành có liên quan;</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lastRenderedPageBreak/>
        <w:t>- Đề xuất giải pháp để tháo gỡ những khó khăn, hạn chế là cơ sở để tham gia với Bộ Lao động - Thương binh và Xã hội báo cáo Chính phủ trình Quốc hội về các biện pháp, giải pháp nhằm đảm bảo hoàn thiện hệ thống thực thi chính sách, pháp luật về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1.2. Yêu cầu</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Việc tổng kết phải được thực hiện nghiêm túc, khách quan, toàn diện tại các Sở GD&amp;ĐT, các đơn vị trực thuộc Bộ GD&amp;ĐT; bảo đảm đúng nội dung, mục đích và tiến độ đề ra; bảo đảm tiết kiệm và hiệu quả;</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Đánh giá đúng tình hình 10 năm thi hành Luật Bình đẳng giới và các văn bản hướng dẫn thi hành, những kết quả, thành tích đã đạt được, các mặt hạn chế. Từ đó rút ra những bài học kinh nghiệm trong công tác quản lý, triển khai các quy định của Luật Bình đẳng giới trong lĩnh vực của cơ quan, đơn vị;</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Kết quả tổng kết phải có sự tham khảo ý kiến đánh giá của cán bộ, công chức, viên chức trong các đơn vị.</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en-CA"/>
        </w:rPr>
        <w:t>2</w:t>
      </w:r>
      <w:r w:rsidRPr="00311F0D">
        <w:rPr>
          <w:rFonts w:ascii="Arial" w:eastAsia="Times New Roman" w:hAnsi="Arial" w:cs="Arial"/>
          <w:b/>
          <w:bCs/>
          <w:color w:val="000000"/>
          <w:sz w:val="20"/>
          <w:szCs w:val="18"/>
          <w:lang w:val="vi-VN"/>
        </w:rPr>
        <w:t>.</w:t>
      </w:r>
      <w:r w:rsidRPr="00311F0D">
        <w:rPr>
          <w:rFonts w:ascii="Arial" w:eastAsia="Times New Roman" w:hAnsi="Arial" w:cs="Arial"/>
          <w:color w:val="000000"/>
          <w:sz w:val="20"/>
          <w:szCs w:val="18"/>
          <w:lang w:val="vi-VN"/>
        </w:rPr>
        <w:t> </w:t>
      </w:r>
      <w:r w:rsidRPr="00311F0D">
        <w:rPr>
          <w:rFonts w:ascii="Arial" w:eastAsia="Times New Roman" w:hAnsi="Arial" w:cs="Arial"/>
          <w:b/>
          <w:bCs/>
          <w:color w:val="000000"/>
          <w:sz w:val="20"/>
          <w:szCs w:val="18"/>
        </w:rPr>
        <w:t>Phạm vi và các hoạt động tổng kết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vi-VN"/>
        </w:rPr>
        <w:t>2.1. </w:t>
      </w:r>
      <w:r w:rsidRPr="00311F0D">
        <w:rPr>
          <w:rFonts w:ascii="Arial" w:eastAsia="Times New Roman" w:hAnsi="Arial" w:cs="Arial"/>
          <w:b/>
          <w:bCs/>
          <w:color w:val="000000"/>
          <w:sz w:val="20"/>
          <w:szCs w:val="18"/>
        </w:rPr>
        <w:t>Phạm vi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rPr>
        <w:t>Đánh giá công tác triển khai thi hành và tác động của các quy định Luật Bình đẳng giới, các văn bản hướng dẫn Luật được thực hiện tại các Sở </w:t>
      </w:r>
      <w:r w:rsidRPr="00311F0D">
        <w:rPr>
          <w:rFonts w:ascii="Arial" w:eastAsia="Times New Roman" w:hAnsi="Arial" w:cs="Arial"/>
          <w:color w:val="000000"/>
          <w:sz w:val="20"/>
          <w:szCs w:val="18"/>
          <w:lang w:val="en-CA"/>
        </w:rPr>
        <w:t>GD&amp;ĐT</w:t>
      </w:r>
      <w:r w:rsidRPr="00311F0D">
        <w:rPr>
          <w:rFonts w:ascii="Arial" w:eastAsia="Times New Roman" w:hAnsi="Arial" w:cs="Arial"/>
          <w:color w:val="000000"/>
          <w:sz w:val="20"/>
          <w:szCs w:val="18"/>
        </w:rPr>
        <w:t>, </w:t>
      </w:r>
      <w:r w:rsidRPr="00311F0D">
        <w:rPr>
          <w:rFonts w:ascii="Arial" w:eastAsia="Times New Roman" w:hAnsi="Arial" w:cs="Arial"/>
          <w:color w:val="000000"/>
          <w:sz w:val="20"/>
          <w:szCs w:val="18"/>
          <w:lang w:val="en-CA"/>
        </w:rPr>
        <w:t>các đơn vị trực thuộc Bộ GD&amp;ĐT</w:t>
      </w:r>
      <w:r w:rsidRPr="00311F0D">
        <w:rPr>
          <w:rFonts w:ascii="Arial" w:eastAsia="Times New Roman" w:hAnsi="Arial" w:cs="Arial"/>
          <w:color w:val="000000"/>
          <w:sz w:val="20"/>
          <w:szCs w:val="18"/>
        </w:rPr>
        <w: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vi-VN"/>
        </w:rPr>
        <w:t>2.2. </w:t>
      </w:r>
      <w:r w:rsidRPr="00311F0D">
        <w:rPr>
          <w:rFonts w:ascii="Arial" w:eastAsia="Times New Roman" w:hAnsi="Arial" w:cs="Arial"/>
          <w:b/>
          <w:bCs/>
          <w:color w:val="000000"/>
          <w:sz w:val="20"/>
          <w:szCs w:val="18"/>
        </w:rPr>
        <w:t>Hoạt động tổng kết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vi-VN"/>
        </w:rPr>
        <w:t>- </w:t>
      </w:r>
      <w:r w:rsidRPr="00311F0D">
        <w:rPr>
          <w:rFonts w:ascii="Arial" w:eastAsia="Times New Roman" w:hAnsi="Arial" w:cs="Arial"/>
          <w:color w:val="000000"/>
          <w:sz w:val="20"/>
          <w:szCs w:val="18"/>
        </w:rPr>
        <w:t>Căn cứ quy định của Luật Bình đẳng giới, các Sở </w:t>
      </w:r>
      <w:r w:rsidRPr="00311F0D">
        <w:rPr>
          <w:rFonts w:ascii="Arial" w:eastAsia="Times New Roman" w:hAnsi="Arial" w:cs="Arial"/>
          <w:color w:val="000000"/>
          <w:sz w:val="20"/>
          <w:szCs w:val="18"/>
          <w:lang w:val="en-CA"/>
        </w:rPr>
        <w:t>GD&amp;ĐT</w:t>
      </w:r>
      <w:r w:rsidRPr="00311F0D">
        <w:rPr>
          <w:rFonts w:ascii="Arial" w:eastAsia="Times New Roman" w:hAnsi="Arial" w:cs="Arial"/>
          <w:color w:val="000000"/>
          <w:sz w:val="20"/>
          <w:szCs w:val="18"/>
        </w:rPr>
        <w:t>, các đơn vị </w:t>
      </w:r>
      <w:r w:rsidRPr="00311F0D">
        <w:rPr>
          <w:rFonts w:ascii="Arial" w:eastAsia="Times New Roman" w:hAnsi="Arial" w:cs="Arial"/>
          <w:color w:val="000000"/>
          <w:sz w:val="20"/>
          <w:szCs w:val="18"/>
          <w:lang w:val="en-CA"/>
        </w:rPr>
        <w:t>trực thuộc Bộ GD&amp;ĐT </w:t>
      </w:r>
      <w:r w:rsidRPr="00311F0D">
        <w:rPr>
          <w:rFonts w:ascii="Arial" w:eastAsia="Times New Roman" w:hAnsi="Arial" w:cs="Arial"/>
          <w:color w:val="000000"/>
          <w:sz w:val="20"/>
          <w:szCs w:val="18"/>
        </w:rPr>
        <w:t>xây dựng Báo cáo tổng kết 10 năm thi hành Luật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vi-VN"/>
        </w:rPr>
        <w:t>- </w:t>
      </w:r>
      <w:r w:rsidRPr="00311F0D">
        <w:rPr>
          <w:rFonts w:ascii="Arial" w:eastAsia="Times New Roman" w:hAnsi="Arial" w:cs="Arial"/>
          <w:color w:val="000000"/>
          <w:sz w:val="20"/>
          <w:szCs w:val="18"/>
        </w:rPr>
        <w:t>Căn cứ vào tình hình thực tế, khảo sát và điều tra việc thực hiện Luật Bình đẳng giới tại một số đơn vị làm căn cứ thực tiễn cho việc tổng kết.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vi-VN"/>
        </w:rPr>
        <w:t>- </w:t>
      </w:r>
      <w:r w:rsidRPr="00311F0D">
        <w:rPr>
          <w:rFonts w:ascii="Arial" w:eastAsia="Times New Roman" w:hAnsi="Arial" w:cs="Arial"/>
          <w:color w:val="000000"/>
          <w:sz w:val="20"/>
          <w:szCs w:val="18"/>
        </w:rPr>
        <w:t>Bộ Giáo dục và Đào tạo thực hiện triển khai xây dựng Báo cáo tổng hợp và tổ chức hoạt động tổng kết toàn ngành 10 năm thi hành Luật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rPr>
        <w:t>3.</w:t>
      </w:r>
      <w:r w:rsidRPr="00311F0D">
        <w:rPr>
          <w:rFonts w:ascii="Arial" w:eastAsia="Times New Roman" w:hAnsi="Arial" w:cs="Arial"/>
          <w:color w:val="000000"/>
          <w:sz w:val="20"/>
          <w:szCs w:val="18"/>
        </w:rPr>
        <w:t> </w:t>
      </w:r>
      <w:r w:rsidRPr="00311F0D">
        <w:rPr>
          <w:rFonts w:ascii="Arial" w:eastAsia="Times New Roman" w:hAnsi="Arial" w:cs="Arial"/>
          <w:b/>
          <w:bCs/>
          <w:color w:val="000000"/>
          <w:sz w:val="20"/>
          <w:szCs w:val="18"/>
          <w:lang w:val="vi-VN"/>
        </w:rPr>
        <w:t>Nội dung </w:t>
      </w:r>
      <w:r w:rsidRPr="00311F0D">
        <w:rPr>
          <w:rFonts w:ascii="Arial" w:eastAsia="Times New Roman" w:hAnsi="Arial" w:cs="Arial"/>
          <w:b/>
          <w:bCs/>
          <w:color w:val="000000"/>
          <w:sz w:val="20"/>
          <w:szCs w:val="18"/>
        </w:rPr>
        <w:t>tổng kết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Tổng kết tình hình triển khai thi hành </w:t>
      </w:r>
      <w:r w:rsidRPr="00311F0D">
        <w:rPr>
          <w:rFonts w:ascii="Arial" w:eastAsia="Times New Roman" w:hAnsi="Arial" w:cs="Arial"/>
          <w:color w:val="000000"/>
          <w:sz w:val="20"/>
          <w:szCs w:val="18"/>
        </w:rPr>
        <w:t>Luật Bình đẳng giới, trong đó tập trung vào các nội dung chính sau: việc ban hành chương trình, kế hoạch triển khai; tình hình quán triệt, phổ biến, giáo dục pháp luật về bình đẳng giới; công tác kiện toàn tổ chức bộ máy và biên chế để đảm bảo thực hiện nhiệm vụ quản lý nhà nước về bình đẳng giới; công tác đào tạo, bồi dưỡng, tập huấn kỹ năng nghiệp vụ cho đội ngũ cán bộ công chức, viên chức làm công tác bình đẳng giới; công tác kiểm tra, giám sát việc thực hiện pháp luật về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Đánh giá kết quả đạt được trong việc thực hiện </w:t>
      </w:r>
      <w:r w:rsidRPr="00311F0D">
        <w:rPr>
          <w:rFonts w:ascii="Arial" w:eastAsia="Times New Roman" w:hAnsi="Arial" w:cs="Arial"/>
          <w:color w:val="000000"/>
          <w:sz w:val="20"/>
          <w:szCs w:val="18"/>
        </w:rPr>
        <w:t xml:space="preserve">Luật Bình đẳng giới thuộc phạm vi, lĩnh vực phụ trách, trong đó tập trung vào các nội dung sau: các quy định, hướng dẫn triển khai và thực hiện các biện pháp thúc đẩy bình đẳng giới của từng lĩnh vực; việc lồng ghép vấn đề bình đẳng giới trong xây dựng văn bản </w:t>
      </w:r>
      <w:r w:rsidRPr="00311F0D">
        <w:rPr>
          <w:rFonts w:ascii="Arial" w:eastAsia="Times New Roman" w:hAnsi="Arial" w:cs="Arial"/>
          <w:color w:val="000000"/>
          <w:sz w:val="20"/>
          <w:szCs w:val="18"/>
        </w:rPr>
        <w:lastRenderedPageBreak/>
        <w:t>quy phạm pháp luật, chính sách, chương trình giáo dục trong nhà trường; nguồn tài chính cho hoạt động bình đẳng giới; thống kê các số liệu liên quan tới lĩnh vực bình đẳng giới</w:t>
      </w:r>
      <w:r w:rsidRPr="00311F0D">
        <w:rPr>
          <w:rFonts w:ascii="Arial" w:eastAsia="Times New Roman" w:hAnsi="Arial" w:cs="Arial"/>
          <w:color w:val="000000"/>
          <w:sz w:val="20"/>
          <w:szCs w:val="18"/>
          <w:lang w:val="en-CA"/>
        </w:rPr>
        <w: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Những hạn chế, vướng mắc khi thực hiện </w:t>
      </w:r>
      <w:r w:rsidRPr="00311F0D">
        <w:rPr>
          <w:rFonts w:ascii="Arial" w:eastAsia="Times New Roman" w:hAnsi="Arial" w:cs="Arial"/>
          <w:color w:val="000000"/>
          <w:sz w:val="20"/>
          <w:szCs w:val="18"/>
        </w:rPr>
        <w:t>Luật Bình đẳng giới đồng thời phân tích rõ các nguyên nhân chủ quan, khách quan của những hạn chế, vướng mắc; xác định những vấn đề mới nảy sinh trong thực hiện bình đẳng giới cần được điều chỉnh</w:t>
      </w:r>
      <w:r w:rsidRPr="00311F0D">
        <w:rPr>
          <w:rFonts w:ascii="Arial" w:eastAsia="Times New Roman" w:hAnsi="Arial" w:cs="Arial"/>
          <w:color w:val="000000"/>
          <w:sz w:val="20"/>
          <w:szCs w:val="18"/>
          <w:lang w:val="en-CA"/>
        </w:rPr>
        <w:t>.</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en-CA"/>
        </w:rPr>
        <w:t>- </w:t>
      </w:r>
      <w:r w:rsidRPr="00311F0D">
        <w:rPr>
          <w:rFonts w:ascii="Arial" w:eastAsia="Times New Roman" w:hAnsi="Arial" w:cs="Arial"/>
          <w:color w:val="000000"/>
          <w:sz w:val="20"/>
          <w:szCs w:val="18"/>
        </w:rPr>
        <w:t>Đề xuất, kiến nghị các giải pháp nhằm hoàn thiện pháp luật về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vi-VN"/>
        </w:rPr>
        <w:t>4. Tổ chức thực hiện</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vi-VN"/>
        </w:rPr>
        <w:t>- Cục Nhà giáo và Cán bộ quản lý cơ sở giáo dục: Chủ trì, phối hợp với Văn phòng Bộ, Công đoàn Giáo dục Việt Nam, các đơn vị trực thuộc Bộ </w:t>
      </w:r>
      <w:r w:rsidRPr="00311F0D">
        <w:rPr>
          <w:rFonts w:ascii="Arial" w:eastAsia="Times New Roman" w:hAnsi="Arial" w:cs="Arial"/>
          <w:color w:val="000000"/>
          <w:sz w:val="20"/>
          <w:szCs w:val="18"/>
          <w:lang w:val="en-CA"/>
        </w:rPr>
        <w:t>GD&amp;ĐT </w:t>
      </w:r>
      <w:r w:rsidRPr="00311F0D">
        <w:rPr>
          <w:rFonts w:ascii="Arial" w:eastAsia="Times New Roman" w:hAnsi="Arial" w:cs="Arial"/>
          <w:color w:val="000000"/>
          <w:sz w:val="20"/>
          <w:szCs w:val="18"/>
          <w:lang w:val="vi-VN"/>
        </w:rPr>
        <w:t>có liên quan xây dựng và triển khai Kế hoạch.</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vi-VN"/>
        </w:rPr>
        <w:t>- Vụ Kế hoạch Tài chính: Tham mưu nguồn kinh phí thực hiện Kế hoạch.</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lang w:val="vi-VN"/>
        </w:rPr>
        <w:t>- Các Sở </w:t>
      </w:r>
      <w:r w:rsidRPr="00311F0D">
        <w:rPr>
          <w:rFonts w:ascii="Arial" w:eastAsia="Times New Roman" w:hAnsi="Arial" w:cs="Arial"/>
          <w:color w:val="000000"/>
          <w:sz w:val="20"/>
          <w:szCs w:val="18"/>
          <w:lang w:val="en-CA"/>
        </w:rPr>
        <w:t>GD&amp;ĐT</w:t>
      </w:r>
      <w:r w:rsidRPr="00311F0D">
        <w:rPr>
          <w:rFonts w:ascii="Arial" w:eastAsia="Times New Roman" w:hAnsi="Arial" w:cs="Arial"/>
          <w:color w:val="000000"/>
          <w:sz w:val="20"/>
          <w:szCs w:val="18"/>
          <w:lang w:val="vi-VN"/>
        </w:rPr>
        <w:t>, đơn vị trực thuộc Bộ </w:t>
      </w:r>
      <w:r w:rsidRPr="00311F0D">
        <w:rPr>
          <w:rFonts w:ascii="Arial" w:eastAsia="Times New Roman" w:hAnsi="Arial" w:cs="Arial"/>
          <w:color w:val="000000"/>
          <w:sz w:val="20"/>
          <w:szCs w:val="18"/>
          <w:lang w:val="en-CA"/>
        </w:rPr>
        <w:t>GD&amp;ĐT</w:t>
      </w:r>
      <w:r w:rsidRPr="00311F0D">
        <w:rPr>
          <w:rFonts w:ascii="Arial" w:eastAsia="Times New Roman" w:hAnsi="Arial" w:cs="Arial"/>
          <w:color w:val="000000"/>
          <w:sz w:val="20"/>
          <w:szCs w:val="18"/>
          <w:lang w:val="vi-VN"/>
        </w:rPr>
        <w:t>: </w:t>
      </w:r>
      <w:r w:rsidRPr="00311F0D">
        <w:rPr>
          <w:rFonts w:ascii="Arial" w:eastAsia="Times New Roman" w:hAnsi="Arial" w:cs="Arial"/>
          <w:color w:val="000000"/>
          <w:sz w:val="20"/>
          <w:szCs w:val="18"/>
        </w:rPr>
        <w:t>xây dựng Báo cáo tổng kết 10 năm thi hành Luật Bình đẳng giới.</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rPr>
      </w:pPr>
      <w:r w:rsidRPr="00311F0D">
        <w:rPr>
          <w:rFonts w:ascii="Arial" w:eastAsia="Times New Roman" w:hAnsi="Arial" w:cs="Arial"/>
          <w:b/>
          <w:bCs/>
          <w:color w:val="000000"/>
          <w:sz w:val="20"/>
          <w:szCs w:val="18"/>
          <w:lang w:val="vi-VN"/>
        </w:rPr>
        <w:t>5. Kinh phí</w:t>
      </w:r>
    </w:p>
    <w:p w:rsidR="00311F0D" w:rsidRPr="00311F0D" w:rsidRDefault="00311F0D" w:rsidP="00311F0D">
      <w:pPr>
        <w:shd w:val="clear" w:color="auto" w:fill="FFFFFF"/>
        <w:spacing w:after="0" w:line="360" w:lineRule="auto"/>
        <w:rPr>
          <w:rFonts w:ascii="Arial" w:eastAsia="Times New Roman" w:hAnsi="Arial" w:cs="Arial"/>
          <w:color w:val="000000"/>
          <w:sz w:val="20"/>
          <w:szCs w:val="18"/>
        </w:rPr>
      </w:pPr>
      <w:r w:rsidRPr="00311F0D">
        <w:rPr>
          <w:rFonts w:ascii="Arial" w:eastAsia="Times New Roman" w:hAnsi="Arial" w:cs="Arial"/>
          <w:color w:val="000000"/>
          <w:sz w:val="20"/>
          <w:szCs w:val="18"/>
        </w:rPr>
        <w:t>Kinh phí thực hiện tổng kết 10 năm thi hành Luật Bình đẳng giới được bố trí từ nguồn kinh phí của Bộ, các Sở </w:t>
      </w:r>
      <w:r w:rsidRPr="00311F0D">
        <w:rPr>
          <w:rFonts w:ascii="Arial" w:eastAsia="Times New Roman" w:hAnsi="Arial" w:cs="Arial"/>
          <w:color w:val="000000"/>
          <w:sz w:val="20"/>
          <w:szCs w:val="18"/>
          <w:lang w:val="en-CA"/>
        </w:rPr>
        <w:t>GD&amp;ĐT</w:t>
      </w:r>
      <w:r w:rsidRPr="00311F0D">
        <w:rPr>
          <w:rFonts w:ascii="Arial" w:eastAsia="Times New Roman" w:hAnsi="Arial" w:cs="Arial"/>
          <w:color w:val="000000"/>
          <w:sz w:val="20"/>
          <w:szCs w:val="18"/>
        </w:rPr>
        <w:t>, các đơn vị </w:t>
      </w:r>
      <w:r w:rsidRPr="00311F0D">
        <w:rPr>
          <w:rFonts w:ascii="Arial" w:eastAsia="Times New Roman" w:hAnsi="Arial" w:cs="Arial"/>
          <w:color w:val="000000"/>
          <w:sz w:val="20"/>
          <w:szCs w:val="18"/>
          <w:lang w:val="en-CA"/>
        </w:rPr>
        <w:t>trực thuộc Bộ GD&amp;ĐT </w:t>
      </w:r>
      <w:r w:rsidRPr="00311F0D">
        <w:rPr>
          <w:rFonts w:ascii="Arial" w:eastAsia="Times New Roman" w:hAnsi="Arial" w:cs="Arial"/>
          <w:color w:val="000000"/>
          <w:sz w:val="20"/>
          <w:szCs w:val="18"/>
        </w:rPr>
        <w:t>theo quy định tại Thông tư số </w:t>
      </w:r>
      <w:hyperlink r:id="rId10" w:tgtFrame="_blank" w:history="1">
        <w:r w:rsidRPr="00311F0D">
          <w:rPr>
            <w:rFonts w:ascii="Arial" w:eastAsia="Times New Roman" w:hAnsi="Arial" w:cs="Arial"/>
            <w:color w:val="0E70C3"/>
            <w:sz w:val="20"/>
            <w:szCs w:val="18"/>
          </w:rPr>
          <w:t>191/2009/TT-BTC</w:t>
        </w:r>
      </w:hyperlink>
      <w:r w:rsidRPr="00311F0D">
        <w:rPr>
          <w:rFonts w:ascii="Arial" w:eastAsia="Times New Roman" w:hAnsi="Arial" w:cs="Arial"/>
          <w:color w:val="000000"/>
          <w:sz w:val="20"/>
          <w:szCs w:val="18"/>
        </w:rPr>
        <w:t> ngày 01/10/2009 của Bộ Tài chính hướng dẫn quản lý và sử dụng kinh phí hoạt động bình đẳng giới và hoạt động vì sự tiến bộ của phụ nữ./.</w:t>
      </w:r>
    </w:p>
    <w:p w:rsidR="00311F0D" w:rsidRPr="00311F0D" w:rsidRDefault="00311F0D" w:rsidP="00311F0D">
      <w:pPr>
        <w:shd w:val="clear" w:color="auto" w:fill="FFFFFF"/>
        <w:spacing w:after="120" w:line="360" w:lineRule="auto"/>
        <w:rPr>
          <w:rFonts w:ascii="Arial" w:eastAsia="Times New Roman" w:hAnsi="Arial" w:cs="Arial"/>
          <w:color w:val="000000"/>
          <w:sz w:val="20"/>
          <w:szCs w:val="18"/>
          <w:lang w:val="vi-VN"/>
        </w:rPr>
      </w:pPr>
      <w:r w:rsidRPr="00311F0D">
        <w:rPr>
          <w:rFonts w:ascii="Arial" w:eastAsia="Times New Roman" w:hAnsi="Arial" w:cs="Arial"/>
          <w:color w:val="000000"/>
          <w:sz w:val="20"/>
          <w:szCs w:val="18"/>
        </w:rPr>
        <w:t> </w:t>
      </w:r>
    </w:p>
    <w:p w:rsidR="00E7104B" w:rsidRPr="00311F0D" w:rsidRDefault="00E7104B" w:rsidP="00311F0D">
      <w:pPr>
        <w:spacing w:line="360" w:lineRule="auto"/>
        <w:rPr>
          <w:rFonts w:ascii="Times New Roman" w:hAnsi="Times New Roman" w:cs="Times New Roman"/>
          <w:sz w:val="24"/>
        </w:rPr>
      </w:pPr>
    </w:p>
    <w:sectPr w:rsidR="00E7104B" w:rsidRPr="00311F0D">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75C" w:rsidRDefault="006D375C" w:rsidP="00311F0D">
      <w:pPr>
        <w:spacing w:after="0" w:line="240" w:lineRule="auto"/>
      </w:pPr>
      <w:r>
        <w:separator/>
      </w:r>
    </w:p>
  </w:endnote>
  <w:endnote w:type="continuationSeparator" w:id="0">
    <w:p w:rsidR="006D375C" w:rsidRDefault="006D375C" w:rsidP="00311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75C" w:rsidRDefault="006D375C" w:rsidP="00311F0D">
      <w:pPr>
        <w:spacing w:after="0" w:line="240" w:lineRule="auto"/>
      </w:pPr>
      <w:r>
        <w:separator/>
      </w:r>
    </w:p>
  </w:footnote>
  <w:footnote w:type="continuationSeparator" w:id="0">
    <w:p w:rsidR="006D375C" w:rsidRDefault="006D375C" w:rsidP="00311F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F0D" w:rsidRDefault="00311F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0D"/>
    <w:rsid w:val="00311F0D"/>
    <w:rsid w:val="006D375C"/>
    <w:rsid w:val="00E71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7FE490-8EEB-4A74-A631-16FDCBBB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1F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1F0D"/>
  </w:style>
  <w:style w:type="character" w:styleId="Hyperlink">
    <w:name w:val="Hyperlink"/>
    <w:basedOn w:val="DefaultParagraphFont"/>
    <w:uiPriority w:val="99"/>
    <w:semiHidden/>
    <w:unhideWhenUsed/>
    <w:rsid w:val="00311F0D"/>
    <w:rPr>
      <w:color w:val="0000FF"/>
      <w:u w:val="single"/>
    </w:rPr>
  </w:style>
  <w:style w:type="paragraph" w:styleId="Header">
    <w:name w:val="header"/>
    <w:basedOn w:val="Normal"/>
    <w:link w:val="HeaderChar"/>
    <w:uiPriority w:val="99"/>
    <w:unhideWhenUsed/>
    <w:rsid w:val="0031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F0D"/>
  </w:style>
  <w:style w:type="paragraph" w:styleId="Footer">
    <w:name w:val="footer"/>
    <w:basedOn w:val="Normal"/>
    <w:link w:val="FooterChar"/>
    <w:uiPriority w:val="99"/>
    <w:unhideWhenUsed/>
    <w:rsid w:val="0031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97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32/2008/N%C4%90-CP&amp;area=2&amp;type=0&amp;match=False&amp;vc=True&amp;lan=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thuvienphapluat.vn/phap-luat/tim-van-ban.aspx?keyword=123/2016/N%C4%90-CP&amp;area=2&amp;type=0&amp;match=False&amp;vc=True&amp;lan=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34/2016/N%C4%90-CP&amp;area=2&amp;type=0&amp;match=False&amp;vc=True&amp;lan=1"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thuvienphapluat.vn/phap-luat/tim-van-ban.aspx?keyword=191/2009/TT-BTC&amp;area=2&amp;type=0&amp;match=False&amp;vc=True&amp;lan=1" TargetMode="External"/><Relationship Id="rId4" Type="http://schemas.openxmlformats.org/officeDocument/2006/relationships/footnotes" Target="footnotes.xml"/><Relationship Id="rId9" Type="http://schemas.openxmlformats.org/officeDocument/2006/relationships/hyperlink" Target="http://thuvienphapluat.vn/phap-luat/tim-van-ban.aspx?keyword=1392/Q%C4%90-L%C4%90TBXH&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1203</Words>
  <Characters>6862</Characters>
  <Application>Microsoft Office Word</Application>
  <DocSecurity>0</DocSecurity>
  <Lines>57</Lines>
  <Paragraphs>16</Paragraphs>
  <ScaleCrop>false</ScaleCrop>
  <Company/>
  <LinksUpToDate>false</LinksUpToDate>
  <CharactersWithSpaces>8049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2016-12-20T09:17:00Z</dcterms:created>
  <dcterms:modified xsi:type="dcterms:W3CDTF">2016-12-20T09:19:00Z</dcterms:modified>
</cp:coreProperties>
</file>