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DD" w:rsidRDefault="008C2ADD"/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8C2ADD" w:rsidRPr="008C2ADD" w:rsidTr="008C2ADD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ADD" w:rsidRPr="008C2ADD" w:rsidRDefault="008C2ADD" w:rsidP="008C2ADD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2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NGÂN HÀNG NHÀ NƯỚC </w:t>
            </w:r>
            <w:r w:rsidRPr="008C2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VIỆT NAM</w:t>
            </w:r>
            <w:r w:rsidRPr="008C2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ADD" w:rsidRPr="008C2ADD" w:rsidRDefault="008C2ADD" w:rsidP="008C2ADD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2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8C2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 </w:t>
            </w:r>
            <w:r w:rsidRPr="008C2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8C2ADD" w:rsidRPr="008C2ADD" w:rsidTr="008C2ADD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ADD" w:rsidRPr="008C2ADD" w:rsidRDefault="008C2ADD" w:rsidP="008C2ADD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2A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 35/2016/TT-NHNN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ADD" w:rsidRPr="008C2ADD" w:rsidRDefault="008C2ADD" w:rsidP="008C2ADD">
            <w:pPr>
              <w:spacing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2A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Hà Nội, ngày 29 tháng 12 năm 2016</w:t>
            </w:r>
          </w:p>
        </w:tc>
      </w:tr>
    </w:tbl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b/>
          <w:bCs/>
          <w:color w:val="000000"/>
          <w:sz w:val="24"/>
          <w:szCs w:val="24"/>
        </w:rPr>
        <w:t>THÔNG TƯ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</w:rPr>
        <w:t>QUY ĐỊNH VỀ AN TOÀN, BẢO MẬT CHO VIỆC CUNG CẤP DỊCH VỤ NGÂN HÀNG TRÊN INTERNET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i/>
          <w:iCs/>
          <w:color w:val="000000"/>
          <w:sz w:val="18"/>
          <w:szCs w:val="18"/>
        </w:rPr>
        <w:t>Căn cứ Luật Ngân hàng Nhà nước Việt Nam số 46/2010/QH12 ngày 16 tháng 6 năm 2010;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i/>
          <w:iCs/>
          <w:color w:val="000000"/>
          <w:sz w:val="18"/>
          <w:szCs w:val="18"/>
        </w:rPr>
        <w:t>Căn cứ Luật các tổ chức tín dụng số 47/2010/QH12 ngày 16 tháng 6 năm 2010;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i/>
          <w:iCs/>
          <w:color w:val="000000"/>
          <w:sz w:val="18"/>
          <w:szCs w:val="18"/>
        </w:rPr>
        <w:t>Căn cứ Luật Giao dịch điện tử số 51/2005/QH11 ngày 29 tháng 11 năm 2005;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i/>
          <w:iCs/>
          <w:color w:val="000000"/>
          <w:sz w:val="18"/>
          <w:szCs w:val="18"/>
        </w:rPr>
        <w:t>Căn cứ Luật an toàn thông tin mạng số 86/2015/QH13 ngày 19 tháng 11 năm 2015;</w:t>
      </w:r>
    </w:p>
    <w:p w:rsidR="008C2ADD" w:rsidRPr="008C2ADD" w:rsidRDefault="008C2ADD" w:rsidP="008C2ADD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i/>
          <w:iCs/>
          <w:color w:val="000000"/>
          <w:sz w:val="18"/>
          <w:szCs w:val="18"/>
        </w:rPr>
        <w:t>Căn cứ Nghị định số </w:t>
      </w:r>
      <w:hyperlink r:id="rId6" w:tgtFrame="_blank" w:history="1">
        <w:r w:rsidRPr="008C2ADD">
          <w:rPr>
            <w:rFonts w:ascii="Arial" w:eastAsia="Times New Roman" w:hAnsi="Arial" w:cs="Arial"/>
            <w:i/>
            <w:iCs/>
            <w:color w:val="0E70C3"/>
            <w:sz w:val="18"/>
            <w:szCs w:val="18"/>
          </w:rPr>
          <w:t>35/2007/NĐ-CP</w:t>
        </w:r>
      </w:hyperlink>
      <w:r w:rsidRPr="008C2ADD">
        <w:rPr>
          <w:rFonts w:ascii="Arial" w:eastAsia="Times New Roman" w:hAnsi="Arial" w:cs="Arial"/>
          <w:i/>
          <w:iCs/>
          <w:color w:val="000000"/>
          <w:sz w:val="18"/>
          <w:szCs w:val="18"/>
        </w:rPr>
        <w:t> ngày 08 tháng 3 năm 2007 của Chính phủ về giao dịch điện tử trong hoạt động ngân hàng;</w:t>
      </w:r>
    </w:p>
    <w:p w:rsidR="008C2ADD" w:rsidRPr="008C2ADD" w:rsidRDefault="008C2ADD" w:rsidP="008C2ADD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i/>
          <w:iCs/>
          <w:color w:val="000000"/>
          <w:sz w:val="18"/>
          <w:szCs w:val="18"/>
        </w:rPr>
        <w:t>Căn cứ Nghị định số </w:t>
      </w:r>
      <w:hyperlink r:id="rId7" w:tgtFrame="_blank" w:history="1">
        <w:r w:rsidRPr="008C2ADD">
          <w:rPr>
            <w:rFonts w:ascii="Arial" w:eastAsia="Times New Roman" w:hAnsi="Arial" w:cs="Arial"/>
            <w:i/>
            <w:iCs/>
            <w:color w:val="0E70C3"/>
            <w:sz w:val="18"/>
            <w:szCs w:val="18"/>
          </w:rPr>
          <w:t>156/2013/NĐ-CP</w:t>
        </w:r>
      </w:hyperlink>
      <w:r w:rsidRPr="008C2ADD">
        <w:rPr>
          <w:rFonts w:ascii="Arial" w:eastAsia="Times New Roman" w:hAnsi="Arial" w:cs="Arial"/>
          <w:i/>
          <w:iCs/>
          <w:color w:val="000000"/>
          <w:sz w:val="18"/>
          <w:szCs w:val="18"/>
        </w:rPr>
        <w:t> ngày 11 tháng 11 năm 2013 của Chính phủ quy định chức năng, nhiệm vụ, quyền hạn và cơ cấu tổ chức của Ngân hàng Nhà nước Việt Nam;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i/>
          <w:iCs/>
          <w:color w:val="000000"/>
          <w:sz w:val="18"/>
          <w:szCs w:val="18"/>
        </w:rPr>
        <w:t>Theo đề nghị của Cục trưởng Cục Công nghệ tin học,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i/>
          <w:iCs/>
          <w:color w:val="000000"/>
          <w:sz w:val="18"/>
          <w:szCs w:val="18"/>
        </w:rPr>
        <w:t>Thống đốc Ngân hàng Nhà nước Việt Nam ban hành Thông tư quy định về an toàn, bảo mật cho việc cung cấp dịch vụ ngân hàng trên Internet.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</w:rPr>
        <w:t>Chương I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b/>
          <w:bCs/>
          <w:color w:val="000000"/>
          <w:sz w:val="24"/>
          <w:szCs w:val="24"/>
        </w:rPr>
        <w:t>QUY ĐỊNH CHUNG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</w:rPr>
        <w:t>Điều 1. Phạm vi điều chỉnh và đối tượng áp dụng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1. Thông tư này quy đ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ịnh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 yêu c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ầu đảm bảo an to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àn, b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ảo mật cho việc cung cấp dịch vụ ng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ân hàng trên Internet.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2. Thông tư này áp d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ụng đối với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 t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ổ chức t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ín d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ụng, chi nh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ánh ngân hàng nư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ớc ngo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ài, t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ổ chức cung ứng dịch vụ trung gian thanh to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án t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ại Việt Nam (sau đ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ây g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ọi chung l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 đơn v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ị).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  <w:lang/>
        </w:rPr>
        <w:t>Đi</w:t>
      </w: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ều 2. Giải th</w:t>
      </w: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</w:rPr>
        <w:t>ích t</w:t>
      </w: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ừ ngữ v</w:t>
      </w: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</w:rPr>
        <w:t>à thu</w:t>
      </w: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ật ngữ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Trong Thông tư này, các t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ừ ngữ dưới đ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ây đư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ợc hiểu như sau: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1. </w:t>
      </w:r>
      <w:r w:rsidRPr="008C2ADD">
        <w:rPr>
          <w:rFonts w:ascii="Arial" w:eastAsia="Times New Roman" w:hAnsi="Arial" w:cs="Arial"/>
          <w:i/>
          <w:iCs/>
          <w:color w:val="000000"/>
          <w:sz w:val="18"/>
          <w:szCs w:val="18"/>
          <w:lang/>
        </w:rPr>
        <w:t>D</w:t>
      </w:r>
      <w:r w:rsidRPr="008C2ADD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ịch vụ ng</w:t>
      </w:r>
      <w:r w:rsidRPr="008C2ADD">
        <w:rPr>
          <w:rFonts w:ascii="Arial" w:eastAsia="Times New Roman" w:hAnsi="Arial" w:cs="Arial"/>
          <w:i/>
          <w:iCs/>
          <w:color w:val="000000"/>
          <w:sz w:val="18"/>
          <w:szCs w:val="18"/>
        </w:rPr>
        <w:t>ân hàng trên Internet (Internet Banking)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 là các d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ịch vụ ng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ân hàng và d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ịch vụ trung gian thanh to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án đư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ợc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 đơn v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ị cung cấp th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ông qua m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ạng Internet.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2. </w:t>
      </w:r>
      <w:r w:rsidRPr="008C2ADD">
        <w:rPr>
          <w:rFonts w:ascii="Arial" w:eastAsia="Times New Roman" w:hAnsi="Arial" w:cs="Arial"/>
          <w:i/>
          <w:iCs/>
          <w:color w:val="000000"/>
          <w:sz w:val="18"/>
          <w:szCs w:val="18"/>
          <w:lang/>
        </w:rPr>
        <w:t>H</w:t>
      </w:r>
      <w:r w:rsidRPr="008C2ADD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ệ thống Internet Banking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 l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 m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ột tập hợp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ó c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ấu tr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úc các trang thi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ết bị phần cứng, phần mềm, cơ sở dữ liệu, hệ thống mạng truyền th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ông và an ninh b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ảo mật để sản xuất, truyền nhận, thu thập, xử l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ý, lưu tr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ữ v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 trao đ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ổi th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ông tin s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ố phục vụ cho việc quản l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ý và cung c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ấp dịch vụ Internet Banking.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3. </w:t>
      </w:r>
      <w:r w:rsidRPr="008C2ADD">
        <w:rPr>
          <w:rFonts w:ascii="Arial" w:eastAsia="Times New Roman" w:hAnsi="Arial" w:cs="Arial"/>
          <w:i/>
          <w:iCs/>
          <w:color w:val="000000"/>
          <w:sz w:val="18"/>
          <w:szCs w:val="18"/>
          <w:lang/>
        </w:rPr>
        <w:t>Khách hàng</w:t>
      </w: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 là các t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ổ chức,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 nhân s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ử dụng dịch vụ Internet Banking.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4. </w:t>
      </w:r>
      <w:r w:rsidRPr="008C2ADD">
        <w:rPr>
          <w:rFonts w:ascii="Arial" w:eastAsia="Times New Roman" w:hAnsi="Arial" w:cs="Arial"/>
          <w:i/>
          <w:iCs/>
          <w:color w:val="000000"/>
          <w:sz w:val="18"/>
          <w:szCs w:val="18"/>
          <w:lang/>
        </w:rPr>
        <w:t>Mã khóa bí m</w:t>
      </w:r>
      <w:r w:rsidRPr="008C2ADD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ật d</w:t>
      </w:r>
      <w:r w:rsidRPr="008C2ADD">
        <w:rPr>
          <w:rFonts w:ascii="Arial" w:eastAsia="Times New Roman" w:hAnsi="Arial" w:cs="Arial"/>
          <w:i/>
          <w:iCs/>
          <w:color w:val="000000"/>
          <w:sz w:val="18"/>
          <w:szCs w:val="18"/>
        </w:rPr>
        <w:t>ùng m</w:t>
      </w:r>
      <w:r w:rsidRPr="008C2ADD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ột lần (One Time Password - OTP)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 l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 mã khóa bí m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ật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ó giá tr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ị sử dụng một lần v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 có hi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ệu lực trong một khoảng thời gian nhất định, thường được sử dụng như một yếu tố thứ 2 để x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 th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ực người d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ùng truy c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ập ứng dụng hoặc thực hiện giao dịch Internet Banking.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5. </w:t>
      </w:r>
      <w:r w:rsidRPr="008C2ADD">
        <w:rPr>
          <w:rFonts w:ascii="Arial" w:eastAsia="Times New Roman" w:hAnsi="Arial" w:cs="Arial"/>
          <w:i/>
          <w:iCs/>
          <w:color w:val="000000"/>
          <w:sz w:val="18"/>
          <w:szCs w:val="18"/>
          <w:lang/>
        </w:rPr>
        <w:t>Xác th</w:t>
      </w:r>
      <w:r w:rsidRPr="008C2ADD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ực hai yếu tố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 l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 phương pháp xác th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ực y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êu c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ầu hai yếu tố để chứng minh t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ính đúng đ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ắn của một danh t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ính. Xác th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ực hai yếu tố dựa tr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ên nh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ững th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ông tin mà ngư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ời d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ùng bi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ết (số PIN, m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ã khoá bí m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ật, …)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ùng v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ới những g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 xml:space="preserve">ì mà 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lastRenderedPageBreak/>
        <w:t>ngư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ời d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ùng có (th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ẻ th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ông minh, thi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ết bị token, điện thoại di động …) hoặc những dấu hiệu sinh trắc học của người d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ùng đ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ể x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 minh danh tính.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6. </w:t>
      </w:r>
      <w:r w:rsidRPr="008C2ADD">
        <w:rPr>
          <w:rFonts w:ascii="Arial" w:eastAsia="Times New Roman" w:hAnsi="Arial" w:cs="Arial"/>
          <w:i/>
          <w:iCs/>
          <w:color w:val="000000"/>
          <w:sz w:val="18"/>
          <w:szCs w:val="18"/>
          <w:lang/>
        </w:rPr>
        <w:t>Mã hóa đi</w:t>
      </w:r>
      <w:r w:rsidRPr="008C2ADD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ểm đầu đến điểm cuối (end to end encryption)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 l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 cơ ch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ế m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ã hoá thông tin 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ở điểm đầu trước khi gửi đi v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 ch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ỉ được giải m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ã sau khi nh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ận được tại điểm cuối trong qu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 trình trao đ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ổi th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ông tin gi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ữa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 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ứng dụng,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 thi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ết bị trong hệ thống nhằm hạn chế rủi ro bị lộ, lọt th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ông tin trên đư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ờng truyền.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  <w:lang/>
        </w:rPr>
        <w:t>Đi</w:t>
      </w: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ều 3. Nguy</w:t>
      </w: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</w:rPr>
        <w:t>ên t</w:t>
      </w: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ắc chung về đảm bảo an to</w:t>
      </w: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</w:rPr>
        <w:t>àn, b</w:t>
      </w: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ảo mật hệ thống c</w:t>
      </w: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</w:rPr>
        <w:t>ông ngh</w:t>
      </w: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ệ th</w:t>
      </w: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</w:rPr>
        <w:t>ông tin cho vi</w:t>
      </w: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ệc cung cấp dịch vụ Internet Banking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1. 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ệ thống Internet Banking được xếp hạng l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 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ệ thống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ông ngh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ệ th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ông tin quan tr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ọng v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 tuân th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ủ theo quy định của Ng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ân hàng Nhà nư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ớc về đảm bảo an to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àn, b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ảo mật hệ thống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ông ngh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ệ th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ông tin trong ho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ạt động ng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ân hàng.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2. Đ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ảm bảo b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í m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ật th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ông tin khách hàng; tính toàn v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ẹn dữ liệu giao dịch kh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ách hàng và m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ọi giao dịch t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ài chính c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ủa kh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ách hàng ph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ải được x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 th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ực tối thiểu hai yếu tố.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3. Đ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ảm bảo t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ính s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ẵn s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àng c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ủa hệ thống Internet Banking để cung cấp dịch vụ một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ách liên t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ục.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4. Th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ực hiện kiểm tra, đ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ánh giá an ninh, b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ảo mật hệ thống Internet Banking theo định kỳ 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àng năm.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5. Xác đ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ịnh rủi ro,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ó bi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ện ph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áp phòng ng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ừa, xử l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ý r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ủi ro trong cung cấp dịch vụ Internet Banking.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6. Các trang thi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ết bị hạ tầng kỹ thuật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ông ngh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ệ th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ông tin cung c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ấp dịch vụ Internet Banking phải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ó b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quyền, nguồn gốc, xuất xứ r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õ ràng; trư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ờng hợp kh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ông còn 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ỗ trợ của nh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 s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xuất, kh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ông có kh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ả năng n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âng c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ấp để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ài đ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ặt phần mềm phi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ên b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mới đơn vị phải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ó k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ế hoạch n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âng c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ấp, thay thế theo th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ông báo c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ủa nh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 s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xuất.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  <w:lang/>
        </w:rPr>
        <w:t>Chương II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b/>
          <w:bCs/>
          <w:color w:val="000000"/>
          <w:sz w:val="24"/>
          <w:szCs w:val="24"/>
          <w:lang/>
        </w:rPr>
        <w:t>CÁC QUY ĐỊNH CỤ THỂ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  <w:lang/>
        </w:rPr>
        <w:t>M</w:t>
      </w: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ục 1</w:t>
      </w: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</w:rPr>
        <w:t>. </w:t>
      </w: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  <w:lang/>
        </w:rPr>
        <w:t>H</w:t>
      </w: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Ạ TẦNG KỸ THUẬT CỦA HỆ THỐNG INTERNET BANKING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  <w:lang/>
        </w:rPr>
        <w:t>Đi</w:t>
      </w: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ều 4. Hệ thống mạng, truyền th</w:t>
      </w: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</w:rPr>
        <w:t>ông và an ninh b</w:t>
      </w: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ảo mật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Đơn v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ị phải thiết lập hệ thống mạng, truyền th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ông và an ninh b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ảo mật đạt y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êu c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ầu tối thiểu sau: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1. 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ệ thống mạng được chia t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ách thành các phân vùng, t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ối thiểu gồm: ph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ân vùng k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ết nối Internet, ph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ân vùng trung gian gi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ữa mạng nội bộ v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 m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ạng Internet (ph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ân vùng DMZ), phân vùng ngư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ời d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ùng, phân vùng qu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trị, ph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ân vùng máy ch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ủ.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 máy tính ph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ục vụ cho việc cung cấp th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ông tin trên Internet ph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ải được đặt trong ph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ân vùng DMZ. Các máy ch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ủ lưu trữ, xử l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ý d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ữ liệu phải được đặt trong ph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ân vùng máy ch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ủ.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2. Trang b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ị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 gi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ải ph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áp an ninh b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ảo mật cho hệ thống Internet Banking, tối thiểu gồm: thiết bị tường lửa; ph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òng ch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ống vi r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út; phòng ch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ống tấn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ông t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ừ chối dịch vụ; tường lửa bảo vệ lớp ứng dụng v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 phòng ch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ống tấn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ông xâm nh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ập.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3. D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ữ liệu nhạy cảm kh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ông đư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ợc lưu trữ tại ph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ân vùng k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ết nối Internet v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 phân vùng DMZ.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4. K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ết nối từ b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ên ngoài vào 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ệ thống Internet Banking phải th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ông qua phân vùng DMZ đ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ể kiểm so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át an ninh, b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ảo mật.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5. Thi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ết lập ch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ính sách 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ạn chế tối đa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 d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ịch vụ, cổng kết nối v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ào 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ệ thống Internet Banking.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6. Ki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ểm tra ch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ính sách an ninh b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ảo mật; quyền truy cập;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 k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ết nối, trang thiết bị, phần mềm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ài đ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ặt bất hợp ph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áp vào 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ệ thống mạng tối thiểu ba th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áng m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ột lần.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7. Không thi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ết lập kết nối từ mạng kh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ông dây đ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ến m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ôi trư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ờng vận 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ành 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ệ thống Internet Banking.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8. 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ạn chế kết nối từ xa để thực hiện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ông tác qu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trị hệ thống. Trường hợp bắt buộc phải kết nối từ xa v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ào vùng máy ch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ủ, đơn vị phải sử dụng giao thức truyền th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ông đư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ợc m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ã hóa và không lưu mã khóa bí m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ật tại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 ph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ần mềm tiện 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ích.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9. K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ết nối từ Internet v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ào 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ệ thống mạng nội bộ để thực hiện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ông tác qu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trị hệ thống phải được tu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ân th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ủ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 quy t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ắc sau: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lastRenderedPageBreak/>
        <w:t>a) Ph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ải được người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ó th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ẩm quyền ph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ê duy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ệt sau khi xem x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ét m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ục đ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ích, cách th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ức kết nối;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b) Ph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ải sử dụng giao thức truyền th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ông đư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ợc m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ã hóa;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c) Thi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ết bị kết nối phải được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ài đ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ặt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 ph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ần mềm đảm bảo an ninh bảo mật;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d) Ph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ải sử dụng biện ph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áp xác th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ực hai yếu tố khi đăng nhập hệ thống.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10. Đư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ờng truyền kết nối Internet phải đảm bảo t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ính s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ẵn s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àng và t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ối thiểu phải kết nối từ hai nh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 cung c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ấp dịch vụ kh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 nhau.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11. Trang b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ị giải ph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áp đ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ảm bảo an to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àn b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ảo mật giữa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 phân vùng m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ạng: giữa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 phân vùng m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ạng kh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 nhau ph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ải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ó thi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ết bị tường lửa hoặc thiết bị ph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òng ch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ống x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âm nh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ập.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  <w:lang/>
        </w:rPr>
        <w:t>Đi</w:t>
      </w: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ều 5. Hệ thống m</w:t>
      </w: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</w:rPr>
        <w:t>áy ch</w:t>
      </w: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ủ v</w:t>
      </w: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</w:rPr>
        <w:t>à ph</w:t>
      </w: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ần mềm hệ thống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1. Yêu c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ầu đối với m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áy ch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ủ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a) Hi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ệu năng sử dụng trung b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ình hàng tháng t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ối đa 80%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ông su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ất thiết kế;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b) Có tính năng s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ẵn s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àng cao: 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ệ thống Internet Banking phải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ó máy ch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ủ dự ph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òng t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ại chỗ;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c) Tách bi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ệt về l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ô-gíc ho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ặc vật l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ý v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ới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 máy ch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ủ hoạt động nghiệp vụ kh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ác.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2. Đơn v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ị phải lập danh mục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 ph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ần mềm được ph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ép cài đ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ặt tr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ên máy ch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ủ. Định kỳ tối thiểu s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áu tháng m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ột lần cập nhật, kiểm tra, đảm bảo tu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ân th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ủ danh mục n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ày.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  <w:lang/>
        </w:rPr>
        <w:t>Đi</w:t>
      </w: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ều 6. Hệ quản trị cơ sở dữ liệu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1. 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ệ quản trị cơ sở dữ liệu phải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ó cơ ch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ế bảo vệ v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 phân quy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ền truy cập đối với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 tài nguyên cơ s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ở dữ liệu.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2. 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ệ thống Internet Banking phải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ó cơ s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ở dữ liệu dự ph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òng t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ại Trung t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âm d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ự ph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òng th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ảm họa. Cơ sở dữ liệu dự ph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òng ph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ải được cập nhật kh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ông quá m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ột giờ so với cơ sở dữ liệu ch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ính th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ức. Cơ sở dữ liệu phải được sao lưu định kỳ 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àng ngày. Các b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sao lưu phải được quản l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ý, c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ất giữ an to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àn.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3. Đơn v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ị phải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ó bi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ện ph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áp giám sát, ghi nh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ật k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ý truy c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ập cơ sở dữ liệu v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 các thao tác khi truy c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ập cơ sở dữ liệu.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  <w:lang/>
        </w:rPr>
        <w:t>Đi</w:t>
      </w: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ều 7. Phần mềm ứng dụng Internet Banking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1. Các yêu c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ầu an to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àn, b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ảo mật phải được x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 đ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ịnh trước v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 t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ổ chức, triển khai trong qu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 trình phát tri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ển phần mềm ứng dụng: ph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ân tích, thi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ết kế, kiểm thử, vận 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ành chính th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ức v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 b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ảo tr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ì. Các tài li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ệu về an to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àn, b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ảo mật của phần mềm phải được hệ thống 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óa và lưu tr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ữ, sử dụng theo chế độ “Mật”.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2. Đơn v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ị phải kiểm so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át mã ngu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ồn phần mềm với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 yêu c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ầu tối thiểu: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a) Ki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ểm tra m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ã ngu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ồn, nhằm loại trừ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 đo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ạn m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ã đ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ộc hại,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 l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ỗ hổng bảo mật;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b) Ch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ỉ định cụ thể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 cá nhân qu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l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ý mã ngu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ồn của phần mềm ứng dụng Internet Banking;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c) Vi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ệc truy cập tới m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ã ngu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ồn phải được người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ó th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ẩm quyền ph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ê duy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ệt v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 đư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ợc theo d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õi, ghi nh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ật k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ý;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d) Mã ngu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ồn phải được lưu trữ an to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àn t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ại 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ít nh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ất hai địa điểm t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ách bi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ệt;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đ) Trư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ờng hợp kh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ông đư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ợc b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àn giao mã ngu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ồn, khi k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ý 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ợp đồng hoặc nghiệm thu hợp đồng, đơn vị phải y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êu c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ầu b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ên cung c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ấp k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ý cam k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ết kh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ông có các đo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ạn m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ã đ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ộc hại trong phần mềm ứng dụng mua ngo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ài.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3. Đơn v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ị phải kiểm tra thử nghiệm phần mềm ứng dụng Internet Banking đ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áp 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ứng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 yêu c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ầu tối thiểu sau: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a) L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ập v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 phê duy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ệt kế hoạch, kịch bản thử nghiệm phần mềm ứng dụng Internet Banking, trong đ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ó nêu rõ các đi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ều kiện về t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ính an toàn, b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ảo mật phải được đ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áp 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ứng;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b) Phát hi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ện v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 lo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ại trừ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 l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ỗi,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 gian l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ận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ó th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ể xảy ra khi nhập số liệu đầu v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ào;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c) Đánh giá, dò quét phát hi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ện lỗ hổng, điểm yếu về mặt kỹ thuật. Đ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ánh giá kh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ả năng ph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òng ch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ống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 ki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ểu tấn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ông: Injection (SQL, Xpath, LDAP…), Cross-site Scripting (XSS), Cross-site Request Forgery (XSRF), Brute-Force;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lastRenderedPageBreak/>
        <w:t>d) Ghi l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ại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 l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ỗi v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 quá trình x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ử l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ý l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ỗi, đặc biệt l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 các l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ỗi về an to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àn, b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ảo mật trong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 báo cáo v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ề kiểm tra thử nghiệm;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đ) Ki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ểm tra thử nghiệm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 tính năng an toàn, b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ảo mật phải được thực hiện tr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ên các trình duy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ệt (ứng dụng web) v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 phiên b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phần mềm hệ thống của thiết bị di động (ứng dụng mobile);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ó cơ ch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ế kiểm tra, th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ông báo cho ngư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ời d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ùng ch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ạy ứng dụng tr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ên các trình duy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ệt, phi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ên b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phần mềm hệ thống đ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ã đư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ợc kiểm tra v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 th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ử nghiệm an to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àn;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e) Vi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ệc sử dụng dữ liệu trong qu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 trình th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ử nghiệm phải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ó bi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ện ph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áp phòng ng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ừa tr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ánh b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ị lợi dụng hoặc g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ây nh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ầm lẫn.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4. Trư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ớc khi triển khai phần mềm ứng dụng mới, đơn vị phải đ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ánh giá nh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ững rủi ro của qu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 trình tri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ển khai đối với hoạt động nghiệp vụ,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 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ệ thống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ông ngh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ệ th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ông tin liên quan và l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ập, triển khai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 phương án 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ạn chế, khắc phục rủi ro.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5. Đơn v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ị thực hiện quản l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ý, thay đ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ổi v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 nâng c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ấp phi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ên b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phần mềm ứng dụng đ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áp 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ứng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 yêu c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ầu sau: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a) Phân tích đánh giá 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ảnh hưởng của việc thay đổi đối với hệ thống hiện tại v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 các 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ệ thống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ó liên quan khác c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ủa đơn vị cho mỗi y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êu c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ầu thay đổi phần mềm ứng dụng;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b) Các phiên b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phần mềm bao gồm cả m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ã ngu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ồn cần được quản l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ý t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ập trung, lưu trữ, bảo mật v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 có cơ ch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ế ph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ân quy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ền cho từng th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ành viên trong vi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ệc thao t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 v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ới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 t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ập tin;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c) Thông tin v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ề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 phiên b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ản, thời gian cập nhật, người cập nhật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 phiên b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phải được lưu lại;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d) M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ỗi phi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ên b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được n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âng c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ấp phải được kiểm tra thử nghiệm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 tính năng an toàn, b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ảo mật, mức độ rủi ro v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 tính 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ổn định trước khi triển khai ch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ính th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ức;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đ) Vi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ệc n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âng c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ấp phi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ên b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phải căn cứ tr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ên k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ết quả thử nghiệm v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 đư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ợc người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ó th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ẩm quyền ph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ê duy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ệt;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e) Các phiên b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phần mềm ứng dụng sau khi thử nghiệm th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ành công ph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ải được quản l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ý ch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ặt chẽ; tr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ánh b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ị sửa đổi tr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ái phép và s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ẵn s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àng cho vi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ệc triển khai;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g) Có các ch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ỉ dẫn r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õ ràng v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ề nội dung thay đổi, hướng dẫn cập nhật phần mềm ứng dụng,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 thông tin liên quan khác và ph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ải được người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ó th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ẩm quyền ph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ê duy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ệt trước khi triển khai phi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ên b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mới cho kh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ách hàng.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6. Các tính năng b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ắt buộc của phần mềm ứng dụng: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a) Toàn b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ộ dữ liệu khi truyền tr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ên môi trư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ờng mạng Internet được 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áp d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ụng cơ chế m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ã hóa đi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ểm đầu đến điểm cuối;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b) Đ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ảm bảo t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ính toàn v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ẹn của dữ liệu giao dịch, mọi sửa đổi bất hợp ph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áp ph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ải được ph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át hi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ện trong qu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 trình x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ử l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ý giao d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ịch, lưu trữ dữ liệu;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c) Có cơ ch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ế kiểm so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át phiên giao d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ịch v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 th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ời gian truy cập website, ứng dụng. Trường hợp người sử dụng kh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ông thao tác trong m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ột khoảng thời gian do đơn vị quy định nhưng kh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ông quá năm phút, 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ệ thống tự động ngắt phi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ên giao d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ịch hoặc 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áp d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ụng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 bi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ện ph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áp b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ảo vệ kh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ác;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d) Có ch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ức năng che giấu đối với việc hiển thị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 mã khóa bí m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ật d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ùng đ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ể đăng nhập v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ào 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ệ thống;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đ) Đ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ối với kh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ách hàng là t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ổ chức, phần mềm ứng dụng được thiết kế để đảm bảo việc thực hiện giao dịch bao gồm tối thiểu hai bước: tạo, ph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ê duy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ệt giao dịch v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 đư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ợc thực hiện bởi tối thiểu hai người kh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 nhau.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  <w:lang/>
        </w:rPr>
        <w:t>Đi</w:t>
      </w: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ều 8. Phần mềm ứng dụng tr</w:t>
      </w: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</w:rPr>
        <w:t>ên thi</w:t>
      </w: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ết bị di động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Ph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ần mềm ứng dụng Internet Banking tr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ên thi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ết bị di động do đơn vị cung cấp phải đảm bảo tu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ân th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ủ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 quy đ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ịnh tại Điều 7 Th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ông tư này và các yêu c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ầu sau: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1. Đơn v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ị phải chỉ r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õ đư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ờng dẫn tr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ên website ho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ặc kho ứng dụng để kh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ách hàng t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ải v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 cài đ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ặt phần mềm ứng dụng Internet Banking tr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ên thi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ết bị di động.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2. Ph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ần mềm ứng dụng phải được 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áp d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ụng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 bi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ện ph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áp b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ảo vệ để hạn chế dịch ngược.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lastRenderedPageBreak/>
        <w:t>3. Ph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ần mềm ứng dụng phải x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 th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ực người d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ùng khi truy c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ập. Trường hợp x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 th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ực sai li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ên ti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ếp qu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 s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ố lần do đơn vị quy định, nhưng kh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ông đư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ợc qu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 năm l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ần, phần mềm ứng dụng phải tự động kho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 t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ạm thời kh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ông cho khách hàng ti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ếp tục sử dụng.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  <w:lang/>
        </w:rPr>
        <w:t>M</w:t>
      </w: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ục 2</w:t>
      </w: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</w:rPr>
        <w:t>. </w:t>
      </w: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  <w:lang/>
        </w:rPr>
        <w:t>XÁC TH</w:t>
      </w: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ỰC GIAO DỊCH INTERNET BANKING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  <w:lang/>
        </w:rPr>
        <w:t>Đi</w:t>
      </w: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ều 9. X</w:t>
      </w: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</w:rPr>
        <w:t>ác th</w:t>
      </w: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ực kh</w:t>
      </w: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</w:rPr>
        <w:t>ách hàng truy c</w:t>
      </w: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ập dịch vụ Internet Banking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1. Khách hàng truy c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ập sử dụng dịch vụ Internet Banking phải được x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 th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ực tối thiểu bằng t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ên đăng nh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ập v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 mã khóa bí m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ật đ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áp 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ứng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 yêu c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ầu sau: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a) Tên đăng nh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ập phải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ó đ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ộ d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ài t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ối thiểu s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áu ký t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ự; kh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ông đư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ợc sử dụng to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àn b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ộ k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ý t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ự tr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ùng nhau ho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ặc li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ên t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ục theo thứ tự trong bảng chữ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ái, ch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ữ số;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b) Mã khóa bí m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ật phải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ó đ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ộ d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ài t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ối thiểu s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áu ký t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ự, bao gồm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 ký t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ự chữ v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 s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ố,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ó ch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ứa chữ hoa v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 ch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ữ thường hoặc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 ký t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ự đặc biệt. Thời gian hiệu lực của m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ã khóa bí m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ật tối đa 12 th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áng.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2. Ph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ần mềm ứng dụng Internet Banking phải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ó tính năng b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ắt buộc kh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ách hàng thay đ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ổi m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ã khóa bí m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ật ngay lần đăng nhập đầu ti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ên; khóa tài kho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truy cập trong trường hợp kh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ách hàng nh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ập sai m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ã khóa bí m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ật li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ên ti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ếp qu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 s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ố lần do đơn vị quy định, nhưng kh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ông đư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ợc qu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 năm l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ần. Chỉ mở kh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óa tài kho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khi kh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ách hàng yêu c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ầu mở tại quầy giao dịch.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  <w:lang/>
        </w:rPr>
        <w:t>Đi</w:t>
      </w: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ều 10. Y</w:t>
      </w: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</w:rPr>
        <w:t>êu c</w:t>
      </w: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ầu đối với c</w:t>
      </w: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</w:rPr>
        <w:t>ác gi</w:t>
      </w: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ải ph</w:t>
      </w: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</w:rPr>
        <w:t>áp xác th</w:t>
      </w: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ực giao dịch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1. Đơn v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ị phải đ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ánh giá m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ức độ rủi ro của giao dịch theo từng loại kh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ách hàng, lo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ại giao dịch, hạn mức giao dịch để cung cấp giải ph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áp xác th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ực giao dịch ph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ù 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ợp cho kh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ách hàng l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ựa chọn. Hạn mức giao dịch kh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ông vư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ợt qu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 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ạn mức quy định của Thống đốc Ng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ân hàng Nhà nư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ớc trong từng thời kỳ.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2. Yêu c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ầu đối với giải ph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áp xác th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ực bằng OTP gửi qua tin nhắn SMS hoặc thư điện tử: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a) OTP g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ửi tới kh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ách hàng ph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ải k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èm thông tin c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ảnh b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áo đ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ể kh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ách hàng nh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ận biết được mục đ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ích c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ủa OTP;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b) OTP có hi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ệu lực tối đa kh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ông quá 05 phút.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3. Yêu c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ầu đối với giải ph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áp xác th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ực bằng thẻ ma trận OTP: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a) Th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ẻ ma trận OTP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ó th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ời hạn sử dụng tối đa 01 năm kể từ ng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ày đăng ký th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ẻ;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b) OTP có hi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ệu lực tối đa kh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ông quá 02 phút.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4. Yêu c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ầu đối với giải ph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áp xác th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ực bằng OTP được tạo từ phần mềm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ài đ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ặt tr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ên thi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ết bị di động: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a) Đơn v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ị phải chỉ r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õ đư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ờng dẫn tr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ên website ho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ặc kho ứng dụng để kh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ách hàng t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ải v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 cài đ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ặt phần mềm tạo OTP;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b) Ph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ần mềm tạo OTP phải sử dụng m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ã khóa do đơn v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ị cung cấp để k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ích ho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ạt trước khi sử dụng. Một m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ã khóa kích ho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ạt chỉ được sử dụng cho một thiết bị di động;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c) Ph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ần mềm tạo OTP phải được kiểm so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át truy c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ập. Trường hợp x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 th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ực truy cập sai năm lần li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ên ti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ếp, phần mềm phải tự động kho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 không cho khách hàng s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ử dụng tiếp;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d) OTP có hi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ệu lực tối đa kh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ông quá 02 phút.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5. Yêu c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ầu đối với giải ph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áp xác th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ực bằng OTP được tạo từ thiết bị (OTP token): OTP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ó hi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ệu lực tối đa kh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ông quá 02 phút.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6. Yêu c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ầu đối với giải ph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áp xác th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ực bằng chữ k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ý s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ố: Đơn vị phải sử dụng chữ k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ý s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ố v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 d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ịch vụ chứng thực chữ k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ý s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ố của tổ chức cung cấp dịch vụ chứng thực chữ k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ý s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ố hoạt động theo quy định của ph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áp lu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ật về chữ k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ý s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ố v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 d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ịch vụ chứng thực chữ k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ý s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ố.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7. Yêu c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ầu đối với giải ph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áp xác th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ực bằng dấu hiệu nhận dạng sinh trắc học: dấu hiệu nhận dạng sinh trắc học phải l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 d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ấu hiệu duy nhất gắn với mỗi kh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ách hàng và không th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ể giả mạo.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  <w:lang/>
        </w:rPr>
        <w:t>M</w:t>
      </w: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ục 3</w:t>
      </w: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</w:rPr>
        <w:t>. </w:t>
      </w: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  <w:lang/>
        </w:rPr>
        <w:t>QU</w:t>
      </w: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ẢN L</w:t>
      </w: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</w:rPr>
        <w:t>Ý V</w:t>
      </w: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ẬN H</w:t>
      </w: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</w:rPr>
        <w:t>ÀNH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  <w:lang/>
        </w:rPr>
        <w:lastRenderedPageBreak/>
        <w:t>Đi</w:t>
      </w: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ều 11. Quản l</w:t>
      </w: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</w:rPr>
        <w:t>ý nhân s</w:t>
      </w: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ự quản trị, vận h</w:t>
      </w: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</w:rPr>
        <w:t>ành h</w:t>
      </w: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ệ thống Internet Banking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1. Đơn v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ị phải ph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ân công nhân s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ự gi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ám sát, theo dõi ho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ạt động của hệ thống, ph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át hi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ện v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 x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ử l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ý các s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ự cố kỹ thuật,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 cu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ộc tấn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ông m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ạng.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2. Đơn v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ị phải ph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ân công nhân s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ự tiếp nhận th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ông tin, 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ỗ trợ kh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ách hàng, k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ịp thời li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ên l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ạc với kh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ách hàng khi phát hi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ện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 giao d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ịch bất thường.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3. Nhân s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ự quản trị, gi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ám sát và v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ận 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ành 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ệ thống Internet Banking phải tham gia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 khóa đào t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ạo cập nhật kiến thức an ninh, bảo mật hằng năm.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4. Vi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ệc cấp ph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át, phân quy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ền t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ài kho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quản trị hệ thống Internet Banking phải được theo d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õi, giám sát b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ởi bộ phận độc lập với bộ phận cấp ph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át tài kho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ản.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  <w:lang/>
        </w:rPr>
        <w:t>Đi</w:t>
      </w: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ều 12. Quản l</w:t>
      </w: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</w:rPr>
        <w:t>ý ho</w:t>
      </w: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ạt động của m</w:t>
      </w: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</w:rPr>
        <w:t>ôi trư</w:t>
      </w: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ờng vận h</w:t>
      </w: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</w:rPr>
        <w:t>ành h</w:t>
      </w: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ệ thống Internet Banking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1. Đơn v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ị kh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ông cài đ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ặt, lưu trữ phần mềm ph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át tri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ển ứng dụng, m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ã ngu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ồn tr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ên môi trư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ờng vận 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ành.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2. Các máy tính c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ủa nh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ân s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ự quản trị, gi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ám sát và v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ận 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ành ph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ải được đặt trong ph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ân vùng m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ạng quản trị, được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ài đ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ặt phần mềm ph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òng ch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ống vi r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út và ph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ải thiết lập ch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ính sách t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ự động kh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óa màn hình sau m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ột khoảng thời gian kh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ông s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ử dụng do đơn vị quy định, nhưng kh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ông quá 05 phút.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3. Đơn v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ị phải thiết lập ch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ính sách c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ấm truy cập Internet đối với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 máy tính c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ủa nh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ân s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ự quản trị, gi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ám sát và v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ận 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ành.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  <w:lang/>
        </w:rPr>
        <w:t>Đi</w:t>
      </w: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ều 13. Quản l</w:t>
      </w: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</w:rPr>
        <w:t>ý l</w:t>
      </w: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ỗ hổng, điểm yếu về mặt kỹ thuật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Đơn v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ị phải thực hiện quản l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ý các l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ỗ hổng, điểm yếu của hệ thống Internet Banking với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 n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ội dung cơ bản sau: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1. Có bi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ện ph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áp phòng, ch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ống, d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ò tìm phát hi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ện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 thay đ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ổi của website, ứng dụng Internet Banking.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2. Thi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ết lập cơ chế ph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át hi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ện, ph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òng ch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ống x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âm nh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ập, tấn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ông m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ạng v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ào 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ệ thống Internet Banking.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3. Ph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ối hợp với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 đơn v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ị quản l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ý nhà nư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ớc,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 đ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ối t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 công ngh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ệ th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ông tin k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ịp thời nắm bắt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 s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ự cố, t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ình hu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ống mất an to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àn, b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ảo mật th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ông tin đ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ể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ó bi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ện ph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áp ngăn ch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ặn kịp thời.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4. Rà soát, ki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ểm tra việc cập nhật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 b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v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 l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ỗi của phần mềm hệ thống, hệ quản trị cơ sở dữ liệu v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 ph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ần mềm ứng dụng tối thiểu ba th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áng m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ột lần.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5. Đánh giá an ninh b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ảo mật đối với hệ thống Internet Banking tối thiểu mỗi năm một lần. Tổ chức thực hiện diễn tập tấn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ông th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ử nghiệm để kiểm tra, đ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ánh giá m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ức độ đảm bảo an ninh của hệ thống.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  <w:lang/>
        </w:rPr>
        <w:t>Đi</w:t>
      </w: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ều 14. Hệ thống quản trị, gi</w:t>
      </w: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</w:rPr>
        <w:t>ám sát ho</w:t>
      </w: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ạt động của hệ thống Internet Banking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1. Đơn v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ị phải thiết lập hệ thống gi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ám sát, theo dõi ho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ạt động của hệ thống Internet Banking.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2. Đơn v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ị phải x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ây d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ựng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 tiêu chí và ph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ần mềm để x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 đ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ịnh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 giao d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ịch bất thường dựa v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ào th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ời gian, vị tr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í đ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ịa l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ý, t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ần suất giao dịch, số tiền giao dịch, số lần đăng nhập sai qu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 quy đ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ịnh v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 các d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ấu hiệu bất thường kh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ác.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3. Đơn v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ị phải bố tr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í phòng đi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ều khiển t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ách bi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ệt với khu vực l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àm vi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ệc chung để thực hiện việc quản trị, gi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ám sát, theo dõi ho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ạt động của hệ thống Internet Banking đ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áp 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ứng y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êu c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ầu sau: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a) Nhân s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ự ra v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ào phòng đi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ều khiển phải được người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ó th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ẩm quyền ph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ê duy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ệt;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b) Truy c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ập hệ thống để thực hiện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ông tác qu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trị, vận 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ành và b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ảo tr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ì ph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ải được thực hiện th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ông qua các thi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ết bị đặt tại ph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òng đi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ều khiển. Trường hợp cần truy cập từ xa hoặc trực tiếp tr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ên thi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ết bị phải được người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ó th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ẩm quyền ph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ê duy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ệt;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c) Truy c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ập từ b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ên ngoài vào các thi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ết bị đặt tại ph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òng đi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ều khiển phải 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áp d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ụng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 bi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ện ph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áp xác th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ực hai yếu tố.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  <w:lang/>
        </w:rPr>
        <w:t>Đi</w:t>
      </w: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ều 15. Quản l</w:t>
      </w: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</w:rPr>
        <w:t>ý s</w:t>
      </w: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ự cố bảo mật th</w:t>
      </w: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</w:rPr>
        <w:t>ông tin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lastRenderedPageBreak/>
        <w:t>Đơn v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ị phải thiết lập biện ph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áp ghi nh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ận, theo d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õi và x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ử l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ý các s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ự cố an ninh th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ông tin. Đ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ịnh kỳ ba th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áng m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ột lần đơn vị thực hiện đ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ánh giá, tìm nguyên nhân và ch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ủ động thực hiện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 bi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ện ph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áp phòng tránh tái di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ễn.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  <w:lang/>
        </w:rPr>
        <w:t>Đi</w:t>
      </w: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ều 16. Đảm bảo hoạt động li</w:t>
      </w: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</w:rPr>
        <w:t>ên t</w:t>
      </w: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ục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Đơn v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ị phải x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ây d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ựng hệ thống dự ph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òng th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ảm hoạ, quy tr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ình, k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ịch bản đảm bảo hoạt động li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ên t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ục cho hệ thống Internet Banking theo quy định của Ng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ân hàng Nhà nư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ớc về đảm bảo an to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àn, b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ảo mật hệ thống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ông ngh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ệ th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ông tin trong ho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ạt động ng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ân hàng. Ngoài ra, đơn v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ị phải thực hiện: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1. Phân tích, xác đ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ịnh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 tình hu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ống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ó th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ể g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ây m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ất an ninh th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ông tin và gián đo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ạn hoạt động của hệ thống Internet Banking. X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 đ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ịnh, đ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ánh giá m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ức độ rủi ro, khả năng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ó th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ể xảy ra đối với từng t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ình hu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ống tối thiểu s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áu tháng m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ột lần. Lập danh s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ách các tình hu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ống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ó m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ức độ rủi ro, khả năng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ó th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ể xảy ra theo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 c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ấp độ cao, trung b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ình, ch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ấp nhận được v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 th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ấp.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2. Xây d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ựng phương 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án (quy trình, k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ịch bản) xử l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ý kh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ắc phục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 tình hu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ống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ó m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ức độ rủi ro, khả năng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ó th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ể xảy ra ở cấp độ cao v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 trung bình theo Kho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1 Điều n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ày. Xác đ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ịnh thời gian dừng hoạt động tối đa để phục hồi hệ thống, phục hồi dữ liệu cho phương 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án x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ử l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ý đ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ối với từng t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ình hu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ống. Tổ chức phổ biến phương 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án x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ử l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ý đ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ến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 nhân s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ự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ó liên quan đ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ể hiểu r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õ nhi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ệm vụ,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ông vi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ệc cần phải thực hiện khi xử l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ý.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3. B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ố tr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í ngu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ồn nh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ân l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ực, t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ài chính và các phương ti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ện kỹ thuật để tổ chức diễn tập phương 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án x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ử l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ý v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ới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 tình hu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ống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ó m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ức độ rủi ro, khả năng xảy ra cao theo định kỳ tối thiểu s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áu tháng m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ột lần.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4. L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ập kế hoạch v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 ti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ến 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ành di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ễn tập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 bi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ện ph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áp đ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ảm bảo hoạt động kinh doanh li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ên t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ục, lưu giữ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 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ồ sơ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ó liên quan và t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ổ chức đ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ánh giá k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ết quả diễn tập.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  <w:lang/>
        </w:rPr>
        <w:t>M</w:t>
      </w: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ục 4</w:t>
      </w: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</w:rPr>
        <w:t>. </w:t>
      </w: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  <w:lang/>
        </w:rPr>
        <w:t>B</w:t>
      </w: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ẢO VỆ QUYỀN LỢI CỦA KH</w:t>
      </w: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</w:rPr>
        <w:t>ÁCH HÀNG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  <w:lang/>
        </w:rPr>
        <w:t>Đi</w:t>
      </w: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ều 17. Th</w:t>
      </w: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</w:rPr>
        <w:t>ông tin v</w:t>
      </w: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ề dịch vụ Internet Banking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1. Đơn v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ị phải cung cấp th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ông tin v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ề dịch vụ Internet Banking cho kh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ách hàng trư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ớc khi đăng k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ý s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ử dụng dịch vụ, tối thiểu gồm: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a) Cách th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ức cung cấp dịch vụ: tr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ên Internet, thi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ết bị di động, viễn th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ông. Cách th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ức truy cập dịch vụ Internet Banking ứng với từng phương tiện truy cập dịch vụ tr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ên Internet, thi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ết bị di động, viễn th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ông;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b) 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ạn mức giao dịch v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 các bi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ện ph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áp xác th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ực giao dịch;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c) Đi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ều kiện cần thiết về trang thiết bị khi sử dụng dịch vụ: thiết bị tạo OTP, số điện thoại di động, thư điện tử, chứng thư số, thiết bị di động để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ài đ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ặt phần mềm;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d) Các r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ủi ro li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ên quan đ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ến việc sử dụng dịch vụ Internet Banking.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2. Đơn v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ị phải th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ông tin cho khách hàng v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ề hợp đồng cung cấp, sử dụng dịch vụ Internet Banking, tối thiểu gồm: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a) Quy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ền lợi v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 nghĩa v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ụ của kh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ách hàng s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ử dụng dịch vụ Internet Banking;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b) Trách nhi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ệm của đơn vị trong bảo mật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 thông tin cá nhân c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ủa kh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ách hàng; cách th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ức đơn vị thu thập, sử dụng th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ông tin khách hàng; cam k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ết kh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ông bán, ti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ết lộ, r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ò r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ỉ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 thông tin khách hàng;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c) Cam k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ết khả năng đảm bảo hoạt động li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ên t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ục của hệ thống Internet Banking;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d) Các n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ội dung kh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 c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ủa đơn vị đối với dịch vụ Internet Banking (nếu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ó).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  <w:lang/>
        </w:rPr>
        <w:t>Đi</w:t>
      </w: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ều 18. Hướng dẫn kh</w:t>
      </w: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</w:rPr>
        <w:t>ách hàng s</w:t>
      </w: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ử dụng dịch vụ Internet Banking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1. Đơn v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ị phải x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ây d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ựng quy tr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ình, tài li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ệu hướng dẫn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ài đ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ặt, sử dụng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 ph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ần mềm, ứng dụng, thiết bị thực hiện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 giao d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ịch Internet Banking v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 cung c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ấp, hướng dẫn kh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ách hàng s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ử dụng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 quy trình, tài li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ệu n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ày.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2. Đơn v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ị phải hướng dẫn kh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ách hàng th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ực hiện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 bi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ện ph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áp đ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ảm bảo an to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àn, b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ảo mật khi sử dụng dịch vụ Internet Banking, tối thiểu gồm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 n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ội dung sau: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a) B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ảo vệ b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í m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ật m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ã khóa bí m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ật, OTP v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 không chia s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ẻ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 thi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ết bị lưu trữ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 thông tin này;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lastRenderedPageBreak/>
        <w:t>b) Cách thi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ết lập m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ã khóa bí m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ật v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 thay đ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ổi m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ã khóa bí m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ật t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ài kho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truy cập theo định kỳ tối thiểu một năm một lần hoặc khi bị lộ, nghi bị lộ;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c) Không dùng máy tính công c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ộng để truy cập, thực hiện giao dịch Internet Banking;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d) Không lưu l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ại t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ên đăng nh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ập v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 mã khóa bí m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ật tr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ên các trình duy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ệt web;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đ) Thoát kh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ỏi ứng dụng Internet Banking khi kh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ông s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ử dụng;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e) Nh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ận dạng v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 hành đ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ộng xử l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ý m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ột số t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ình hu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ống lừa đảo, giả mạo website;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g) Yêu c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ầu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ài đ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ặt, sử dụng phần mềm diệt vi r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út trên thi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ết bị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 nhân s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ử dụng để giao dịch Internet Banking;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h) L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ựa chọn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 gi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ải ph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áp xác th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ực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ó m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ức độ an to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àn, b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ảo mật ph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ù 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ợp với nhu cầu của kh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ách hàng v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ề hạn mức giao dịch;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i) C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ảnh b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áo các r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ủi ro li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ên quan đ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ến việc sử dụng dịch vụ Internet Banking;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k) Không s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ử dụng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 thi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ết bị di động đ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ã b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ị ph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 khóa đ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ể tải v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 s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ử dụng phần mềm ứng dụng Internet Banking, phần mềm tạo OTP.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l) Thông báo k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ịp thời cho đơn vị khi ph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át hi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ện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 giao d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ịch bất thường;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m) Thông báo ngay cho đơn v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ị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 trư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ờng hợp: mất, thất lạc, hư hỏng thiết bị tạo OTP, số điện thoại nhận tin nhắn SMS, thiết bị lưu trữ kho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 b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ảo mật tạo chữ k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ý s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ố; bị lừa đảo hoặc nghi ngờ bị lừa đảo; bị tin tặc hoặc nghi ngờ bị tin tặc tấn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ông.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3. Đơn v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ị phải cung cấp cho kh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ách hàng thông tin v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ề đầu mối tiếp nhận th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ông tin, s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ố điện thoại đường d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ây nóng và ch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ỉ dẫn cho kh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ách hàng quy trình, cách th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ức phối hợp xử l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ý các l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ỗi v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 s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ự cố trong qu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 trình s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ử dụng dịch vụ.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  <w:lang/>
        </w:rPr>
        <w:t>Đi</w:t>
      </w: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ều 19. Bảo mật th</w:t>
      </w: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</w:rPr>
        <w:t>ông tin khách hàng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Đơn v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ị phải 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áp d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ụng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 bi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ện ph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áp đ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ảm bảo an to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àn, b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ảo mật cơ sở dữ liệu kh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ách hàng, t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ối thiểu bao gồm: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1. D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ữ liệu nhạy cảm của kh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ách hàng khi lưu tr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ữ, truyền tr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ên m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ạng Internet phải được m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ã hóa ho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ặc che dấu.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2. Thi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ết lập quyền truy cập đ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úng ch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ức năng, nhiệm vụ cho nh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ân s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ự thực hiện nhiệm vụ truy cập dữ liệu kh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ách hàng; có bi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ện ph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áp giám sát m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ỗi lần truy cập.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3. Có bi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ện ph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áp qu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l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ý truy c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ập, tiếp cận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 thi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ết bị, phương tiện lưu trữ dữ liệu về th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ông tin khách hàng đ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ể ph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òng ch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ống nguy cơ lộ, lọt th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ông tin khách hàng.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  <w:lang/>
        </w:rPr>
        <w:t>Chương III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b/>
          <w:bCs/>
          <w:color w:val="000000"/>
          <w:sz w:val="24"/>
          <w:szCs w:val="24"/>
          <w:lang/>
        </w:rPr>
        <w:t>ĐIỀU KHOẢN THI HÀNH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  <w:lang/>
        </w:rPr>
        <w:t>Đi</w:t>
      </w: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ều 20. Chế độ b</w:t>
      </w: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</w:rPr>
        <w:t>áo cáo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Các đơn v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ị cung cấp dịch vụ Internet Banking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ó trách nhi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ệm gửi b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áo cáo b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ằng văn bản về Ng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ân hàng Nhà nư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ớc Việt Nam (Cục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ông ngh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ệ tin học) như sau: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1. Báo cáo cung c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ấp dịch vụ Internet Banking: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a) Th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ời hạn gửi b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áo cáo: T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ối thiểu 10 ng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ày làm vi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ệc trước khi cung cấp ch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ính th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ức dịch vụ Internet Banking;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b) N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ội dung b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áo cáo: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(i) Đ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ịa chỉ website hoặc hoặc kho ứng dụng cung cấp dịch vụ;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(ii) Các s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ản phẩm, dịch vụ hiện đang cung cấp;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(iii) Ngày cung c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ấp ch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ính th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ức;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(iv) Đơn v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ị cung cấp sản phẩm hệ thống Internet Banking;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lastRenderedPageBreak/>
        <w:t>(v) Bên th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ứ ba được thu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ê ho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ặc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ùng 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ợp t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 xây d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ựng, vận 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ành 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ệ thống Internet Banking;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 ho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ạt động li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ên quan đ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ến hệ thống Internet Banking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ó s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ự tham gia của b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ên th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ứ ba v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 hình th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ức tham gia của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 bên th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ứ ba n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ày;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(vi) Các gi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ải ph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áp xác th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ực 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áp d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ụng với từng loại kh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ách hàng, lo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ại giao dịch v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 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ạn mức giao dịch;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(vii) Các tài li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ệu kh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 v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ề hạ tầng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ông ngh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ệ th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ông tin và truy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ền th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ông, nhân l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ực, quy tr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ình k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ỹ thuật nghiệp vụ,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 phương án x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ử l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ý r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ủi ro v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 các n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ội dung li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ên quan khác theo quy đ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ịnh tại Chương II của Th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ông tư này.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2. Báo cáo đ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ột xuất: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a) Khi x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ảy ra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 s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ự cố mất an to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àn ho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ặc ảnh hưởng đến hoạt động của hệ thống Internet Banking trong v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òng 05 ngày k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ể từ thời điểm ph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át sinh s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ự cố hoặc ph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át hi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ện sự cố, đơn vị phải gửi b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áo cáo theo n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ội dung sau: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(i) Th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ời gian, địa điểm ph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át sinh s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ự cố;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(ii) Mô t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ả sơ bộ về sự cố, t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ình tr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ạng khi xảy ra sự cố;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(iii) Nguyên nhân s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ự cố;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(iv) Đánh giá r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ủi ro, ảnh hưởng đối với hệ thống Internet Banking v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 các 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ệ thống kh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 có liên quan;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(v) Tình hình thi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ệt hại;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(vi) Các bi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ện ph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áp đã th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ực hiện để khắc phục sự cố, ngăn chặn v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 phòng ng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ừa rủi ro;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(vii) Ki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ến nghị, đề xuất.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b) Các trư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ờng hợp b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áo cáo đ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ột xuất kh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 theo yêu c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ầu của Ng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ân hàng Nhà nư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ớc.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3. Báo cáo năm: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Th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ời hạn v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 n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ội dung b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áo cáo theo quy đ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ịnh của Ng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ân hàng Nhà nư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ớc về chế độ b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áo cáo th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ống k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ê áp d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ụng đối với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 t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ổ chức t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ín d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ụng, chi nh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ánh ngân hàng nư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ớc ngo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ài.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  <w:lang/>
        </w:rPr>
        <w:t>Đi</w:t>
      </w: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ều 21. Tr</w:t>
      </w: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</w:rPr>
        <w:t>ách nhi</w:t>
      </w: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ệm của c</w:t>
      </w: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</w:rPr>
        <w:t>ác đơn v</w:t>
      </w: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ị thuộc Ng</w:t>
      </w: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</w:rPr>
        <w:t>ân hàng Nhà nư</w:t>
      </w: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ớc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1. C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ục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ông ngh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ệ tin học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ó trách nhi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ệm: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a) Theo dõi, t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ổng hợp b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áo cáo Th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ống đốc Ng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ân hàng Nhà nư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ớc t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ình hình th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ực hiện việc đảm bảo an to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àn, b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ảo mật hệ thống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ông ngh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ệ th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ông tin cung c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ấp dịch vụ Internet Banking của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 đơn v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ị theo quy định tại Điều 20 Th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ông tư này;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b) Ch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ủ tr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ì, ph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ối hợp với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 đơn v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ị li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ên quan thu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ộc Ng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ân hàng Nhà nư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ớc xử l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ý các vư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ớng mắc ph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át sinh trong quá trình tri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ển khai thực hiện Th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ông tư này.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2. Cơ quan Thanh tra, giám sát ngân hàng có trách nhi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ệm phối hợp với Cục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ông ngh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ệ tin học kiểm tra, gi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ám sát vi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ệc thi 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ành Thông tư này và x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ử l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ý vi ph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ạm 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ành chính đ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ối với 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ành vi vi ph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ạm theo quy định của ph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áp lu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ật.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  <w:lang/>
        </w:rPr>
        <w:t>Đi</w:t>
      </w: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ều 22. Hiệu lực thi h</w:t>
      </w: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</w:rPr>
        <w:t>ành</w:t>
      </w:r>
    </w:p>
    <w:p w:rsidR="008C2ADD" w:rsidRPr="008C2ADD" w:rsidRDefault="008C2ADD" w:rsidP="008C2ADD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Thông tư này có hi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ệu lực thi 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ành k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ể từ ng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ày 01/07/2017 và thay th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ế Th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ông tư </w:t>
      </w:r>
      <w:hyperlink r:id="rId8" w:tgtFrame="_blank" w:history="1">
        <w:r w:rsidRPr="008C2ADD">
          <w:rPr>
            <w:rFonts w:ascii="Arial" w:eastAsia="Times New Roman" w:hAnsi="Arial" w:cs="Arial"/>
            <w:color w:val="0E70C3"/>
            <w:sz w:val="18"/>
            <w:szCs w:val="18"/>
          </w:rPr>
          <w:t>29/2011/TT-NHNN</w:t>
        </w:r>
      </w:hyperlink>
      <w:r w:rsidRPr="008C2ADD">
        <w:rPr>
          <w:rFonts w:ascii="Arial" w:eastAsia="Times New Roman" w:hAnsi="Arial" w:cs="Arial"/>
          <w:color w:val="000000"/>
          <w:sz w:val="18"/>
          <w:szCs w:val="18"/>
        </w:rPr>
        <w:t>ngày 21/9/2011 c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ủa Ng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ân hàng Nhà nư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ớc Việt Nam quy định về đảm bảo an to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àn, b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ảo mật cho việc cung cấp dịch vụ ng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ân hàng trên Internet.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  <w:lang/>
        </w:rPr>
        <w:t>Đi</w:t>
      </w:r>
      <w:r w:rsidRPr="008C2AD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ều 23. Tổ chức thực hiện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  <w:lang/>
        </w:rPr>
        <w:t>Chánh Văn phòng, C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ục trưởng Cục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ông ngh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ệ tin học v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 Th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ủ trưởng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 đơn v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ị thuộc Ng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ân hàng Nhà nư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ớc Việt Nam, Gi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ám đ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ốc Ng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ân hàng Nhà nư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ớc chi nh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ánh t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ỉnh, th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ành ph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ố trực thuộc Trung ương; Chủ tịch Hội đồng quản trị, Chủ tịch Hội đồng th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ành viên, T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ổng gi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ám đ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ốc (Gi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ám đ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ốc) c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 t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ổ chức t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ín d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ụng, chi nh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ánh ngân hàng nư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ớc ngo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ài, các t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ổ chức cung ứng dịch vụ trung gian thanh to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án ch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ịu tr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ách nhi</w:t>
      </w:r>
      <w:r w:rsidRPr="008C2ADD">
        <w:rPr>
          <w:rFonts w:ascii="Arial" w:eastAsia="Times New Roman" w:hAnsi="Arial" w:cs="Arial"/>
          <w:color w:val="000000"/>
          <w:sz w:val="18"/>
          <w:szCs w:val="18"/>
          <w:lang w:val="vi-VN"/>
        </w:rPr>
        <w:t>ệm tổ chức thực hiện Th</w:t>
      </w:r>
      <w:r w:rsidRPr="008C2ADD">
        <w:rPr>
          <w:rFonts w:ascii="Arial" w:eastAsia="Times New Roman" w:hAnsi="Arial" w:cs="Arial"/>
          <w:color w:val="000000"/>
          <w:sz w:val="18"/>
          <w:szCs w:val="18"/>
        </w:rPr>
        <w:t>ông tư này./.</w:t>
      </w:r>
    </w:p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68"/>
        <w:gridCol w:w="4788"/>
      </w:tblGrid>
      <w:tr w:rsidR="008C2ADD" w:rsidRPr="008C2ADD" w:rsidTr="008C2ADD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ADD" w:rsidRPr="008C2ADD" w:rsidRDefault="008C2ADD" w:rsidP="008C2ADD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2A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/>
              </w:rPr>
              <w:t> </w:t>
            </w:r>
          </w:p>
          <w:p w:rsidR="008C2ADD" w:rsidRPr="008C2ADD" w:rsidRDefault="008C2ADD" w:rsidP="008C2ADD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2A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/>
              </w:rPr>
              <w:lastRenderedPageBreak/>
              <w:t>Nơi nh</w:t>
            </w:r>
            <w:r w:rsidRPr="008C2A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ận:</w:t>
            </w:r>
            <w:r w:rsidRPr="008C2A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br/>
            </w:r>
            <w:r w:rsidRPr="008C2ADD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- Như Điều 23;</w:t>
            </w:r>
            <w:r w:rsidRPr="008C2ADD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br/>
              <w:t>- Ban L</w:t>
            </w:r>
            <w:r w:rsidRPr="008C2A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ãnh đ</w:t>
            </w:r>
            <w:r w:rsidRPr="008C2ADD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ạo NHNN;</w:t>
            </w:r>
            <w:r w:rsidRPr="008C2ADD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br/>
              <w:t>- Văn ph</w:t>
            </w:r>
            <w:r w:rsidRPr="008C2A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òng Chính ph</w:t>
            </w:r>
            <w:r w:rsidRPr="008C2ADD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ủ;</w:t>
            </w:r>
            <w:r w:rsidRPr="008C2ADD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br/>
              <w:t>- Bộ Tư ph</w:t>
            </w:r>
            <w:r w:rsidRPr="008C2A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áp (đ</w:t>
            </w:r>
            <w:r w:rsidRPr="008C2ADD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ể kiểm tra);</w:t>
            </w:r>
            <w:r w:rsidRPr="008C2ADD"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br/>
              <w:t>- C</w:t>
            </w:r>
            <w:r w:rsidRPr="008C2A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ông báo;</w:t>
            </w:r>
            <w:r w:rsidRPr="008C2AD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 Lưu: VP, CNTH, PC.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ADD" w:rsidRPr="008C2ADD" w:rsidRDefault="008C2ADD" w:rsidP="008C2ADD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2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/>
              </w:rPr>
              <w:lastRenderedPageBreak/>
              <w:t>KT. TH</w:t>
            </w:r>
            <w:r w:rsidRPr="008C2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ỐNG ĐỐC</w:t>
            </w:r>
            <w:r w:rsidRPr="008C2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</w:r>
            <w:r w:rsidRPr="008C2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lastRenderedPageBreak/>
              <w:t>PH</w:t>
            </w:r>
            <w:r w:rsidRPr="008C2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Ó TH</w:t>
            </w:r>
            <w:r w:rsidRPr="008C2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ỐNG ĐỐC</w:t>
            </w:r>
            <w:r w:rsidRPr="008C2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</w:r>
            <w:r w:rsidRPr="008C2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/>
              </w:rPr>
              <w:br/>
            </w:r>
            <w:r w:rsidRPr="008C2A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/>
              </w:rPr>
              <w:br/>
            </w:r>
            <w:r w:rsidRPr="008C2A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/>
              </w:rPr>
              <w:br/>
            </w:r>
            <w:r w:rsidRPr="008C2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/>
              </w:rPr>
              <w:br/>
              <w:t>Nguy</w:t>
            </w:r>
            <w:r w:rsidRPr="008C2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ễn Kim Anh</w:t>
            </w:r>
          </w:p>
        </w:tc>
      </w:tr>
    </w:tbl>
    <w:p w:rsidR="008C2ADD" w:rsidRPr="008C2ADD" w:rsidRDefault="008C2ADD" w:rsidP="008C2ADD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ADD">
        <w:rPr>
          <w:rFonts w:ascii="Arial" w:eastAsia="Times New Roman" w:hAnsi="Arial" w:cs="Arial"/>
          <w:color w:val="000000"/>
          <w:sz w:val="18"/>
          <w:szCs w:val="18"/>
        </w:rPr>
        <w:lastRenderedPageBreak/>
        <w:t> </w:t>
      </w:r>
    </w:p>
    <w:p w:rsidR="00993140" w:rsidRPr="008C2ADD" w:rsidRDefault="00993140">
      <w:pPr>
        <w:rPr>
          <w:rFonts w:ascii="Times New Roman" w:hAnsi="Times New Roman" w:cs="Times New Roman"/>
          <w:sz w:val="28"/>
        </w:rPr>
      </w:pPr>
    </w:p>
    <w:sectPr w:rsidR="00993140" w:rsidRPr="008C2ADD" w:rsidSect="007133D7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C35" w:rsidRDefault="00B54C35" w:rsidP="00672AE7">
      <w:pPr>
        <w:spacing w:after="0" w:line="240" w:lineRule="auto"/>
      </w:pPr>
      <w:r>
        <w:separator/>
      </w:r>
    </w:p>
  </w:endnote>
  <w:endnote w:type="continuationSeparator" w:id="1">
    <w:p w:rsidR="00B54C35" w:rsidRDefault="00B54C35" w:rsidP="0067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C35" w:rsidRDefault="00B54C35" w:rsidP="00672AE7">
      <w:pPr>
        <w:spacing w:after="0" w:line="240" w:lineRule="auto"/>
      </w:pPr>
      <w:r>
        <w:separator/>
      </w:r>
    </w:p>
  </w:footnote>
  <w:footnote w:type="continuationSeparator" w:id="1">
    <w:p w:rsidR="00B54C35" w:rsidRDefault="00B54C35" w:rsidP="00672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3777"/>
      <w:gridCol w:w="5704"/>
    </w:tblGrid>
    <w:tr w:rsidR="00672AE7" w:rsidTr="00853175">
      <w:trPr>
        <w:trHeight w:val="1255"/>
      </w:trPr>
      <w:tc>
        <w:tcPr>
          <w:tcW w:w="3777" w:type="dxa"/>
        </w:tcPr>
        <w:p w:rsidR="00672AE7" w:rsidRDefault="00672AE7" w:rsidP="00853175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2276475" cy="685800"/>
                <wp:effectExtent l="19050" t="0" r="9525" b="0"/>
                <wp:docPr id="1" name="Picture 1" descr="Newvision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vision_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4" w:type="dxa"/>
        </w:tcPr>
        <w:p w:rsidR="00672AE7" w:rsidRDefault="00672AE7" w:rsidP="00853175">
          <w:pPr>
            <w:pStyle w:val="Header"/>
          </w:pPr>
          <w:hyperlink r:id="rId2" w:history="1">
            <w:r>
              <w:rPr>
                <w:rStyle w:val="Hyperlink"/>
              </w:rPr>
              <w:t>http://www.newvisionlaw.com.vn</w:t>
            </w:r>
          </w:hyperlink>
          <w:r>
            <w:t xml:space="preserve"> </w:t>
          </w:r>
        </w:p>
        <w:p w:rsidR="00672AE7" w:rsidRDefault="00672AE7" w:rsidP="00853175">
          <w:pPr>
            <w:pStyle w:val="Header"/>
          </w:pPr>
          <w:r>
            <w:t xml:space="preserve">Tel: </w:t>
          </w:r>
          <w:r>
            <w:rPr>
              <w:bCs/>
              <w:lang w:val="nl-NL"/>
            </w:rPr>
            <w:t>04.</w:t>
          </w:r>
          <w:r>
            <w:t xml:space="preserve">6682.7986/ 6682.8986 </w:t>
          </w:r>
        </w:p>
        <w:p w:rsidR="00672AE7" w:rsidRDefault="00672AE7" w:rsidP="00853175">
          <w:pPr>
            <w:jc w:val="both"/>
            <w:rPr>
              <w:sz w:val="28"/>
            </w:rPr>
          </w:pPr>
          <w:r>
            <w:t xml:space="preserve">Số 9, ngách 6A, đường Phạm Văn Đồng, quận Cầu Giấy.,TP. </w:t>
          </w:r>
          <w:r>
            <w:rPr>
              <w:lang w:val="fr-FR"/>
            </w:rPr>
            <w:t>Hà Nội</w:t>
          </w:r>
        </w:p>
      </w:tc>
    </w:tr>
  </w:tbl>
  <w:p w:rsidR="00672AE7" w:rsidRDefault="00672AE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ADD"/>
    <w:rsid w:val="001E0A86"/>
    <w:rsid w:val="00672AE7"/>
    <w:rsid w:val="007133D7"/>
    <w:rsid w:val="008C2ADD"/>
    <w:rsid w:val="00993140"/>
    <w:rsid w:val="00B54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C2ADD"/>
  </w:style>
  <w:style w:type="character" w:styleId="Hyperlink">
    <w:name w:val="Hyperlink"/>
    <w:basedOn w:val="DefaultParagraphFont"/>
    <w:uiPriority w:val="99"/>
    <w:semiHidden/>
    <w:unhideWhenUsed/>
    <w:rsid w:val="008C2AD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2ADD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672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72AE7"/>
  </w:style>
  <w:style w:type="paragraph" w:styleId="Footer">
    <w:name w:val="footer"/>
    <w:basedOn w:val="Normal"/>
    <w:link w:val="FooterChar"/>
    <w:uiPriority w:val="99"/>
    <w:semiHidden/>
    <w:unhideWhenUsed/>
    <w:rsid w:val="00672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2AE7"/>
  </w:style>
  <w:style w:type="table" w:styleId="TableGrid">
    <w:name w:val="Table Grid"/>
    <w:basedOn w:val="TableNormal"/>
    <w:rsid w:val="00672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2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A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0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uvienphapluat.vn/phap-luat/tim-van-ban.aspx?keyword=29/2011/TT-NHNN&amp;area=2&amp;type=0&amp;match=False&amp;vc=True&amp;lan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huvienphapluat.vn/phap-luat/tim-van-ban.aspx?keyword=156/2013/N%C4%90-CP&amp;area=2&amp;type=0&amp;match=False&amp;vc=True&amp;lan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huvienphapluat.vn/phap-luat/tim-van-ban.aspx?keyword=35/2007/N%C4%90-CP&amp;area=2&amp;type=0&amp;match=False&amp;vc=True&amp;lan=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ewvisionlaw.com.vn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4174</Words>
  <Characters>23793</Characters>
  <Application>Microsoft Office Word</Application>
  <DocSecurity>0</DocSecurity>
  <Lines>198</Lines>
  <Paragraphs>55</Paragraphs>
  <ScaleCrop>false</ScaleCrop>
  <Company/>
  <LinksUpToDate>false</LinksUpToDate>
  <CharactersWithSpaces>27912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HUONG</cp:lastModifiedBy>
  <cp:revision>3</cp:revision>
  <dcterms:created xsi:type="dcterms:W3CDTF">2017-01-03T07:50:00Z</dcterms:created>
  <dcterms:modified xsi:type="dcterms:W3CDTF">2017-01-04T08:01:00Z</dcterms:modified>
</cp:coreProperties>
</file>